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17D" w:rsidRDefault="00550BE6">
      <w:pPr>
        <w:snapToGrid w:val="0"/>
        <w:spacing w:line="740" w:lineRule="exact"/>
        <w:jc w:val="center"/>
        <w:rPr>
          <w:rFonts w:ascii="方正小标宋简体" w:eastAsia="方正小标宋简体" w:hAnsi="方正小标宋简体" w:cs="方正小标宋简体"/>
          <w:sz w:val="44"/>
          <w:szCs w:val="44"/>
        </w:rPr>
      </w:pPr>
      <w:bookmarkStart w:id="0" w:name="OLE_LINK6"/>
      <w:bookmarkStart w:id="1" w:name="OLE_LINK4"/>
      <w:bookmarkStart w:id="2" w:name="OLE_LINK11"/>
      <w:bookmarkStart w:id="3" w:name="OLE_LINK5"/>
      <w:r>
        <w:rPr>
          <w:rFonts w:ascii="方正小标宋简体" w:eastAsia="方正小标宋简体" w:hAnsi="方正小标宋简体" w:cs="方正小标宋简体" w:hint="eastAsia"/>
          <w:sz w:val="44"/>
          <w:szCs w:val="44"/>
        </w:rPr>
        <w:t>济南市重大基础设施地震灾害风险监测评估</w:t>
      </w:r>
    </w:p>
    <w:p w:rsidR="0098517D" w:rsidRDefault="00550BE6">
      <w:pPr>
        <w:snapToGrid w:val="0"/>
        <w:spacing w:line="7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实施意见</w:t>
      </w:r>
    </w:p>
    <w:p w:rsidR="0098517D" w:rsidRDefault="00550BE6">
      <w:pPr>
        <w:snapToGrid w:val="0"/>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（征求意见稿）</w:t>
      </w:r>
    </w:p>
    <w:p w:rsidR="0098517D" w:rsidRDefault="0098517D">
      <w:pPr>
        <w:pStyle w:val="2"/>
        <w:snapToGrid w:val="0"/>
        <w:spacing w:before="0" w:after="0" w:line="560" w:lineRule="exact"/>
        <w:rPr>
          <w:sz w:val="32"/>
          <w:szCs w:val="32"/>
        </w:rPr>
      </w:pPr>
    </w:p>
    <w:p w:rsidR="0098517D" w:rsidRPr="004A2C39" w:rsidRDefault="00550BE6">
      <w:pPr>
        <w:widowControl/>
        <w:snapToGrid w:val="0"/>
        <w:spacing w:line="560" w:lineRule="exact"/>
        <w:ind w:firstLineChars="200" w:firstLine="640"/>
        <w:rPr>
          <w:rFonts w:ascii="仿宋_GB2312" w:eastAsia="仿宋_GB2312" w:hAnsi="仿宋_GB2312" w:cs="仿宋_GB2312"/>
          <w:sz w:val="32"/>
          <w:szCs w:val="32"/>
        </w:rPr>
      </w:pPr>
      <w:bookmarkStart w:id="4" w:name="OLE_LINK12"/>
      <w:bookmarkStart w:id="5" w:name="OLE_LINK13"/>
      <w:r w:rsidRPr="004A2C39">
        <w:rPr>
          <w:rFonts w:ascii="仿宋_GB2312" w:eastAsia="仿宋_GB2312" w:hAnsi="仿宋_GB2312" w:cs="仿宋_GB2312" w:hint="eastAsia"/>
          <w:sz w:val="32"/>
          <w:szCs w:val="32"/>
        </w:rPr>
        <w:t>重大基础设施对保障国家安全、推动经济社会高质量发展具有重大意义</w:t>
      </w:r>
      <w:r w:rsidR="00F71C5F" w:rsidRPr="004A2C39">
        <w:rPr>
          <w:rFonts w:ascii="仿宋_GB2312" w:eastAsia="仿宋_GB2312" w:hAnsi="仿宋_GB2312" w:cs="仿宋_GB2312" w:hint="eastAsia"/>
          <w:sz w:val="32"/>
          <w:szCs w:val="32"/>
        </w:rPr>
        <w:t>，</w:t>
      </w:r>
      <w:r w:rsidRPr="004A2C39">
        <w:rPr>
          <w:rFonts w:ascii="仿宋_GB2312" w:eastAsia="仿宋_GB2312" w:hAnsi="仿宋_GB2312" w:cs="仿宋_GB2312" w:hint="eastAsia"/>
          <w:sz w:val="32"/>
          <w:szCs w:val="32"/>
        </w:rPr>
        <w:t>一旦遭遇较大地震破坏，将对经济发展、社会稳定和人民群众生命财产安全造成威胁。为深入贯彻落</w:t>
      </w:r>
      <w:proofErr w:type="gramStart"/>
      <w:r w:rsidRPr="004A2C39">
        <w:rPr>
          <w:rFonts w:ascii="仿宋_GB2312" w:eastAsia="仿宋_GB2312" w:hAnsi="仿宋_GB2312" w:cs="仿宋_GB2312" w:hint="eastAsia"/>
          <w:sz w:val="32"/>
          <w:szCs w:val="32"/>
        </w:rPr>
        <w:t>实习近</w:t>
      </w:r>
      <w:proofErr w:type="gramEnd"/>
      <w:r w:rsidRPr="004A2C39">
        <w:rPr>
          <w:rFonts w:ascii="仿宋_GB2312" w:eastAsia="仿宋_GB2312" w:hAnsi="仿宋_GB2312" w:cs="仿宋_GB2312" w:hint="eastAsia"/>
          <w:sz w:val="32"/>
          <w:szCs w:val="32"/>
        </w:rPr>
        <w:t>平总书记关于</w:t>
      </w:r>
      <w:r w:rsidR="00F71C5F" w:rsidRPr="004A2C39">
        <w:rPr>
          <w:rFonts w:ascii="仿宋_GB2312" w:eastAsia="仿宋_GB2312" w:hAnsi="仿宋_GB2312" w:cs="仿宋_GB2312" w:hint="eastAsia"/>
          <w:sz w:val="32"/>
          <w:szCs w:val="32"/>
        </w:rPr>
        <w:t>防灾减灾救灾重要论述</w:t>
      </w:r>
      <w:r w:rsidRPr="004A2C39">
        <w:rPr>
          <w:rFonts w:ascii="仿宋_GB2312" w:eastAsia="仿宋_GB2312" w:hAnsi="仿宋_GB2312" w:cs="仿宋_GB2312" w:hint="eastAsia"/>
          <w:sz w:val="32"/>
          <w:szCs w:val="32"/>
        </w:rPr>
        <w:t>和防震减灾</w:t>
      </w:r>
      <w:r w:rsidR="00F71C5F" w:rsidRPr="004A2C39">
        <w:rPr>
          <w:rFonts w:ascii="仿宋_GB2312" w:eastAsia="仿宋_GB2312" w:hAnsi="仿宋_GB2312" w:cs="仿宋_GB2312" w:hint="eastAsia"/>
          <w:sz w:val="32"/>
          <w:szCs w:val="32"/>
        </w:rPr>
        <w:t>重要指示</w:t>
      </w:r>
      <w:r w:rsidRPr="004A2C39">
        <w:rPr>
          <w:rFonts w:ascii="仿宋_GB2312" w:eastAsia="仿宋_GB2312" w:hAnsi="仿宋_GB2312" w:cs="仿宋_GB2312" w:hint="eastAsia"/>
          <w:sz w:val="32"/>
          <w:szCs w:val="32"/>
        </w:rPr>
        <w:t>精神，落实国家、省市关于加强地震灾害风险防范、推进地震预警应用的工作部署，进一步加强重大基础设施地震灾害风险防范工作，切实提高重大基础设施抵御地震灾害能力，保障人民群众生命财产安全和城市安全健康运行，现就济南市开展</w:t>
      </w:r>
      <w:bookmarkStart w:id="6" w:name="OLE_LINK1"/>
      <w:bookmarkStart w:id="7" w:name="OLE_LINK2"/>
      <w:r w:rsidRPr="004A2C39">
        <w:rPr>
          <w:rFonts w:ascii="仿宋_GB2312" w:eastAsia="仿宋_GB2312" w:hAnsi="仿宋_GB2312" w:cs="仿宋_GB2312" w:hint="eastAsia"/>
          <w:sz w:val="32"/>
          <w:szCs w:val="32"/>
        </w:rPr>
        <w:t>重大基础设施地震</w:t>
      </w:r>
      <w:bookmarkEnd w:id="6"/>
      <w:bookmarkEnd w:id="7"/>
      <w:r w:rsidRPr="004A2C39">
        <w:rPr>
          <w:rFonts w:ascii="仿宋_GB2312" w:eastAsia="仿宋_GB2312" w:hAnsi="仿宋_GB2312" w:cs="仿宋_GB2312" w:hint="eastAsia"/>
          <w:sz w:val="32"/>
          <w:szCs w:val="32"/>
        </w:rPr>
        <w:t>灾害风险监测评估工作提出如下实施意见。</w:t>
      </w:r>
    </w:p>
    <w:p w:rsidR="0098517D" w:rsidRPr="004A2C39" w:rsidRDefault="00550BE6">
      <w:pPr>
        <w:adjustRightInd w:val="0"/>
        <w:snapToGrid w:val="0"/>
        <w:spacing w:line="560" w:lineRule="exact"/>
        <w:ind w:firstLineChars="200" w:firstLine="640"/>
        <w:rPr>
          <w:rFonts w:ascii="黑体" w:eastAsia="黑体" w:hAnsi="黑体" w:cs="黑体"/>
          <w:sz w:val="32"/>
          <w:szCs w:val="32"/>
        </w:rPr>
      </w:pPr>
      <w:r w:rsidRPr="004A2C39">
        <w:rPr>
          <w:rFonts w:ascii="黑体" w:eastAsia="黑体" w:hAnsi="黑体" w:cs="黑体" w:hint="eastAsia"/>
          <w:sz w:val="32"/>
          <w:szCs w:val="32"/>
        </w:rPr>
        <w:t>一、总体要求</w:t>
      </w:r>
    </w:p>
    <w:p w:rsidR="0098517D" w:rsidRPr="004A2C39" w:rsidRDefault="00550BE6">
      <w:pPr>
        <w:pStyle w:val="1"/>
        <w:widowControl/>
        <w:snapToGrid w:val="0"/>
        <w:spacing w:line="560" w:lineRule="exact"/>
        <w:rPr>
          <w:rFonts w:cs="仿宋_GB2312"/>
        </w:rPr>
      </w:pPr>
      <w:r w:rsidRPr="004A2C39">
        <w:rPr>
          <w:rFonts w:cs="仿宋_GB2312" w:hint="eastAsia"/>
        </w:rPr>
        <w:t>以习近平新时代中国特色社会主义思想为指导，认真</w:t>
      </w:r>
      <w:r w:rsidR="00F71C5F" w:rsidRPr="004A2C39">
        <w:rPr>
          <w:rFonts w:cs="仿宋_GB2312" w:hint="eastAsia"/>
        </w:rPr>
        <w:t>贯彻</w:t>
      </w:r>
      <w:r w:rsidRPr="004A2C39">
        <w:rPr>
          <w:rFonts w:cs="仿宋_GB2312"/>
        </w:rPr>
        <w:t>中共中央</w:t>
      </w:r>
      <w:r w:rsidRPr="004A2C39">
        <w:rPr>
          <w:rFonts w:cs="仿宋_GB2312" w:hint="eastAsia"/>
        </w:rPr>
        <w:t>、</w:t>
      </w:r>
      <w:r w:rsidRPr="004A2C39">
        <w:rPr>
          <w:rFonts w:cs="仿宋_GB2312"/>
        </w:rPr>
        <w:t>国务院关于</w:t>
      </w:r>
      <w:r w:rsidR="001C6865" w:rsidRPr="004A2C39">
        <w:rPr>
          <w:rFonts w:cs="仿宋_GB2312" w:hint="eastAsia"/>
        </w:rPr>
        <w:t>构建城市安全风险谱系，健全常态化风险隐患监测预警、排查整治机制</w:t>
      </w:r>
      <w:r w:rsidRPr="004A2C39">
        <w:rPr>
          <w:rFonts w:cs="仿宋_GB2312"/>
        </w:rPr>
        <w:t>的工作要求</w:t>
      </w:r>
      <w:r w:rsidR="00F71C5F" w:rsidRPr="004A2C39">
        <w:rPr>
          <w:rFonts w:cs="仿宋_GB2312"/>
        </w:rPr>
        <w:t>和中央城市工作会议</w:t>
      </w:r>
      <w:r w:rsidR="00F71C5F" w:rsidRPr="004A2C39">
        <w:rPr>
          <w:rFonts w:cs="仿宋_GB2312" w:hint="eastAsia"/>
        </w:rPr>
        <w:t>关于</w:t>
      </w:r>
      <w:r w:rsidR="00F71C5F" w:rsidRPr="004A2C39">
        <w:rPr>
          <w:rFonts w:cs="仿宋_GB2312"/>
        </w:rPr>
        <w:t>韧性城市建设的精神</w:t>
      </w:r>
      <w:r w:rsidRPr="004A2C39">
        <w:rPr>
          <w:rFonts w:cs="仿宋_GB2312" w:hint="eastAsia"/>
        </w:rPr>
        <w:t>，坚持</w:t>
      </w:r>
      <w:r w:rsidR="00F71C5F" w:rsidRPr="004A2C39">
        <w:rPr>
          <w:rFonts w:cs="仿宋_GB2312" w:hint="eastAsia"/>
        </w:rPr>
        <w:t>以人民为中心发展理念</w:t>
      </w:r>
      <w:r w:rsidRPr="004A2C39">
        <w:rPr>
          <w:rFonts w:cs="仿宋_GB2312" w:hint="eastAsia"/>
        </w:rPr>
        <w:t>，统筹发展和安全，有序推进全市重大基础设施地震灾害风险</w:t>
      </w:r>
      <w:r w:rsidR="00F71C5F" w:rsidRPr="004A2C39">
        <w:rPr>
          <w:rFonts w:cs="仿宋_GB2312" w:hint="eastAsia"/>
        </w:rPr>
        <w:t>监测</w:t>
      </w:r>
      <w:r w:rsidRPr="004A2C39">
        <w:rPr>
          <w:rFonts w:cs="仿宋_GB2312" w:hint="eastAsia"/>
        </w:rPr>
        <w:t>评估，及时准确掌握风险状况，为科学决策、精准防控提供依据，最大程度减轻地震灾害对重大基础设施的影响，保障经济社会</w:t>
      </w:r>
      <w:r w:rsidR="00F71C5F" w:rsidRPr="004A2C39">
        <w:rPr>
          <w:rFonts w:cs="仿宋_GB2312" w:hint="eastAsia"/>
        </w:rPr>
        <w:t>健康</w:t>
      </w:r>
      <w:r w:rsidRPr="004A2C39">
        <w:rPr>
          <w:rFonts w:cs="仿宋_GB2312" w:hint="eastAsia"/>
        </w:rPr>
        <w:t>平稳运行。</w:t>
      </w:r>
    </w:p>
    <w:p w:rsidR="0098517D" w:rsidRPr="004A2C39" w:rsidRDefault="00550BE6">
      <w:pPr>
        <w:numPr>
          <w:ilvl w:val="0"/>
          <w:numId w:val="1"/>
        </w:numPr>
        <w:adjustRightInd w:val="0"/>
        <w:snapToGrid w:val="0"/>
        <w:spacing w:line="560" w:lineRule="exact"/>
        <w:ind w:firstLineChars="200" w:firstLine="640"/>
        <w:rPr>
          <w:rFonts w:ascii="黑体" w:eastAsia="黑体" w:hAnsi="黑体" w:cs="黑体"/>
          <w:sz w:val="32"/>
          <w:szCs w:val="32"/>
        </w:rPr>
      </w:pPr>
      <w:r w:rsidRPr="004A2C39">
        <w:rPr>
          <w:rFonts w:ascii="黑体" w:eastAsia="黑体" w:hAnsi="黑体" w:cs="黑体" w:hint="eastAsia"/>
          <w:sz w:val="32"/>
          <w:szCs w:val="32"/>
        </w:rPr>
        <w:lastRenderedPageBreak/>
        <w:t>工作目标</w:t>
      </w:r>
    </w:p>
    <w:p w:rsidR="0098517D" w:rsidRPr="004A2C39" w:rsidRDefault="00550BE6">
      <w:pPr>
        <w:snapToGrid w:val="0"/>
        <w:spacing w:line="560" w:lineRule="exact"/>
        <w:ind w:firstLineChars="200" w:firstLine="640"/>
        <w:rPr>
          <w:rFonts w:ascii="仿宋_GB2312" w:eastAsia="仿宋_GB2312" w:hAnsi="仿宋_GB2312" w:cs="仿宋_GB2312"/>
          <w:sz w:val="32"/>
          <w:szCs w:val="32"/>
        </w:rPr>
      </w:pPr>
      <w:r w:rsidRPr="004A2C39">
        <w:rPr>
          <w:rFonts w:ascii="仿宋_GB2312" w:eastAsia="仿宋_GB2312" w:hAnsi="仿宋_GB2312" w:cs="仿宋_GB2312" w:hint="eastAsia"/>
          <w:sz w:val="32"/>
          <w:szCs w:val="32"/>
        </w:rPr>
        <w:t>按照“防大震、减大灾”的基本原则，以保障重大基础设施抗御6</w:t>
      </w:r>
      <w:r w:rsidRPr="004A2C39">
        <w:rPr>
          <w:rFonts w:ascii="仿宋_GB2312" w:eastAsia="仿宋_GB2312" w:hAnsi="仿宋_GB2312" w:cs="仿宋_GB2312"/>
          <w:sz w:val="32"/>
          <w:szCs w:val="32"/>
        </w:rPr>
        <w:t>.</w:t>
      </w:r>
      <w:r w:rsidRPr="004A2C39">
        <w:rPr>
          <w:rFonts w:ascii="仿宋_GB2312" w:eastAsia="仿宋_GB2312" w:hAnsi="仿宋_GB2312" w:cs="仿宋_GB2312" w:hint="eastAsia"/>
          <w:sz w:val="32"/>
          <w:szCs w:val="32"/>
        </w:rPr>
        <w:t>0级左右地震、提升城市重大基础设施地震安全为工作目标，</w:t>
      </w:r>
      <w:r w:rsidR="00F71C5F" w:rsidRPr="004A2C39">
        <w:rPr>
          <w:rFonts w:ascii="仿宋_GB2312" w:eastAsia="仿宋_GB2312" w:hAnsi="仿宋_GB2312" w:cs="仿宋_GB2312" w:hint="eastAsia"/>
          <w:sz w:val="32"/>
          <w:szCs w:val="32"/>
        </w:rPr>
        <w:t>积极</w:t>
      </w:r>
      <w:r w:rsidRPr="004A2C39">
        <w:rPr>
          <w:rFonts w:ascii="仿宋_GB2312" w:eastAsia="仿宋_GB2312" w:hAnsi="仿宋_GB2312" w:cs="仿宋_GB2312" w:hint="eastAsia"/>
          <w:sz w:val="32"/>
          <w:szCs w:val="32"/>
        </w:rPr>
        <w:t>开展</w:t>
      </w:r>
      <w:r w:rsidR="00F71C5F" w:rsidRPr="004A2C39">
        <w:rPr>
          <w:rFonts w:ascii="仿宋_GB2312" w:eastAsia="仿宋_GB2312" w:hAnsi="仿宋_GB2312" w:cs="仿宋_GB2312" w:hint="eastAsia"/>
          <w:sz w:val="32"/>
          <w:szCs w:val="32"/>
        </w:rPr>
        <w:t>监测</w:t>
      </w:r>
      <w:r w:rsidRPr="004A2C39">
        <w:rPr>
          <w:rFonts w:ascii="仿宋_GB2312" w:eastAsia="仿宋_GB2312" w:hAnsi="仿宋_GB2312" w:cs="仿宋_GB2312" w:hint="eastAsia"/>
          <w:sz w:val="32"/>
          <w:szCs w:val="32"/>
        </w:rPr>
        <w:t>评估，掌握</w:t>
      </w:r>
      <w:r w:rsidR="00F71C5F" w:rsidRPr="004A2C39">
        <w:rPr>
          <w:rFonts w:ascii="仿宋_GB2312" w:eastAsia="仿宋_GB2312" w:hAnsi="仿宋_GB2312" w:cs="仿宋_GB2312" w:hint="eastAsia"/>
          <w:sz w:val="32"/>
          <w:szCs w:val="32"/>
        </w:rPr>
        <w:t>全</w:t>
      </w:r>
      <w:r w:rsidRPr="004A2C39">
        <w:rPr>
          <w:rFonts w:ascii="仿宋_GB2312" w:eastAsia="仿宋_GB2312" w:hAnsi="仿宋_GB2312" w:cs="仿宋_GB2312" w:hint="eastAsia"/>
          <w:sz w:val="32"/>
          <w:szCs w:val="32"/>
        </w:rPr>
        <w:t>市重大基础设施地震灾害风险状况，科学评估抗震能力，提出</w:t>
      </w:r>
      <w:r w:rsidR="00871283" w:rsidRPr="004A2C39">
        <w:rPr>
          <w:rFonts w:ascii="仿宋_GB2312" w:eastAsia="仿宋_GB2312" w:hAnsi="仿宋_GB2312" w:cs="仿宋_GB2312" w:hint="eastAsia"/>
          <w:sz w:val="32"/>
          <w:szCs w:val="32"/>
        </w:rPr>
        <w:t>有</w:t>
      </w:r>
      <w:r w:rsidRPr="004A2C39">
        <w:rPr>
          <w:rFonts w:ascii="仿宋_GB2312" w:eastAsia="仿宋_GB2312" w:hAnsi="仿宋_GB2312" w:cs="仿宋_GB2312" w:hint="eastAsia"/>
          <w:sz w:val="32"/>
          <w:szCs w:val="32"/>
        </w:rPr>
        <w:t xml:space="preserve">针对性的风险防控和治理措施，科学应用地震预警信息，提升地震应急处置效能。推进实施震前地震灾害风险监测、震时地震应急响应、震后恢复加固改造三项目标任务，努力实现地震灾害风险精准防控，提升城市地震安全韧性。建立健全地震灾害风险监测评估与管理机制，为城市规划、建设、运行管理及应急决策提供科学依据，进一步提升我市地震灾害风险防范能力。 </w:t>
      </w:r>
    </w:p>
    <w:p w:rsidR="0098517D" w:rsidRPr="004A2C39" w:rsidRDefault="00550BE6">
      <w:pPr>
        <w:adjustRightInd w:val="0"/>
        <w:snapToGrid w:val="0"/>
        <w:spacing w:line="560" w:lineRule="exact"/>
        <w:ind w:firstLineChars="200" w:firstLine="640"/>
        <w:rPr>
          <w:rFonts w:ascii="黑体" w:eastAsia="黑体" w:hAnsi="黑体" w:cs="黑体"/>
          <w:sz w:val="32"/>
          <w:szCs w:val="32"/>
        </w:rPr>
      </w:pPr>
      <w:r w:rsidRPr="004A2C39">
        <w:rPr>
          <w:rFonts w:ascii="黑体" w:eastAsia="黑体" w:hAnsi="黑体" w:cs="黑体" w:hint="eastAsia"/>
          <w:sz w:val="32"/>
          <w:szCs w:val="32"/>
        </w:rPr>
        <w:t>三、主要任务</w:t>
      </w:r>
    </w:p>
    <w:p w:rsidR="0098517D" w:rsidRPr="004A2C39" w:rsidRDefault="00550BE6">
      <w:pPr>
        <w:adjustRightInd w:val="0"/>
        <w:snapToGrid w:val="0"/>
        <w:spacing w:line="560" w:lineRule="exact"/>
        <w:ind w:firstLineChars="200" w:firstLine="640"/>
        <w:rPr>
          <w:rFonts w:ascii="楷体_GB2312" w:eastAsia="楷体_GB2312" w:hAnsi="楷体_GB2312" w:cs="楷体_GB2312"/>
          <w:sz w:val="32"/>
          <w:szCs w:val="32"/>
        </w:rPr>
      </w:pPr>
      <w:r w:rsidRPr="004A2C39">
        <w:rPr>
          <w:rFonts w:ascii="楷体_GB2312" w:eastAsia="楷体_GB2312" w:hAnsi="楷体_GB2312" w:cs="楷体_GB2312" w:hint="eastAsia"/>
          <w:sz w:val="32"/>
          <w:szCs w:val="32"/>
        </w:rPr>
        <w:t>（一）明确评估范围</w:t>
      </w:r>
    </w:p>
    <w:p w:rsidR="0008476C" w:rsidRPr="004A2C39" w:rsidRDefault="00550BE6">
      <w:pPr>
        <w:adjustRightInd w:val="0"/>
        <w:snapToGrid w:val="0"/>
        <w:spacing w:line="560" w:lineRule="exact"/>
        <w:ind w:firstLineChars="200" w:firstLine="640"/>
        <w:rPr>
          <w:rFonts w:ascii="仿宋_GB2312" w:eastAsia="仿宋_GB2312" w:hAnsi="仿宋_GB2312" w:cs="仿宋_GB2312"/>
          <w:sz w:val="32"/>
          <w:szCs w:val="32"/>
        </w:rPr>
      </w:pPr>
      <w:r w:rsidRPr="004A2C39">
        <w:rPr>
          <w:rFonts w:ascii="仿宋_GB2312" w:eastAsia="仿宋_GB2312" w:hAnsi="仿宋_GB2312" w:cs="仿宋_GB2312" w:hint="eastAsia"/>
          <w:sz w:val="32"/>
          <w:szCs w:val="32"/>
        </w:rPr>
        <w:t>1.</w:t>
      </w:r>
      <w:r w:rsidR="0008476C" w:rsidRPr="004A2C39">
        <w:rPr>
          <w:rFonts w:ascii="仿宋_GB2312" w:eastAsia="仿宋_GB2312" w:hAnsi="仿宋_GB2312" w:cs="仿宋_GB2312" w:hint="eastAsia"/>
          <w:sz w:val="32"/>
          <w:szCs w:val="32"/>
        </w:rPr>
        <w:t>重大交通基础设施：单跨跨径超过150米的特大桥；长度大于3000米特长隧道；水深大于20m、墩高大于80m、跨度大于150m及其它技术复杂、修复困难的铁路桥梁；</w:t>
      </w:r>
      <w:proofErr w:type="gramStart"/>
      <w:r w:rsidR="0008476C" w:rsidRPr="004A2C39">
        <w:rPr>
          <w:rFonts w:ascii="仿宋_GB2312" w:eastAsia="仿宋_GB2312" w:hAnsi="仿宋_GB2312" w:cs="仿宋_GB2312" w:hint="eastAsia"/>
          <w:sz w:val="32"/>
          <w:szCs w:val="32"/>
        </w:rPr>
        <w:t>跨黄桥梁</w:t>
      </w:r>
      <w:proofErr w:type="gramEnd"/>
      <w:r w:rsidR="0008476C" w:rsidRPr="004A2C39">
        <w:rPr>
          <w:rFonts w:ascii="仿宋_GB2312" w:eastAsia="仿宋_GB2312" w:hAnsi="仿宋_GB2312" w:cs="仿宋_GB2312" w:hint="eastAsia"/>
          <w:sz w:val="32"/>
          <w:szCs w:val="32"/>
        </w:rPr>
        <w:t>和隧道、轨道交通枢纽等。</w:t>
      </w:r>
    </w:p>
    <w:p w:rsidR="0098517D" w:rsidRPr="004A2C39" w:rsidRDefault="0008476C">
      <w:pPr>
        <w:adjustRightInd w:val="0"/>
        <w:snapToGrid w:val="0"/>
        <w:spacing w:line="560" w:lineRule="exact"/>
        <w:ind w:firstLineChars="200" w:firstLine="640"/>
        <w:rPr>
          <w:rFonts w:ascii="仿宋_GB2312" w:eastAsia="仿宋_GB2312" w:hAnsi="仿宋_GB2312" w:cs="仿宋_GB2312"/>
          <w:sz w:val="32"/>
          <w:szCs w:val="32"/>
        </w:rPr>
      </w:pPr>
      <w:r w:rsidRPr="004A2C39">
        <w:rPr>
          <w:rFonts w:ascii="仿宋_GB2312" w:eastAsia="仿宋_GB2312" w:hAnsi="仿宋_GB2312" w:cs="仿宋_GB2312" w:hint="eastAsia"/>
          <w:sz w:val="32"/>
          <w:szCs w:val="32"/>
        </w:rPr>
        <w:t>2</w:t>
      </w:r>
      <w:r w:rsidRPr="004A2C39">
        <w:rPr>
          <w:rFonts w:ascii="仿宋_GB2312" w:eastAsia="仿宋_GB2312" w:hAnsi="仿宋_GB2312" w:cs="仿宋_GB2312"/>
          <w:sz w:val="32"/>
          <w:szCs w:val="32"/>
        </w:rPr>
        <w:t>.</w:t>
      </w:r>
      <w:r w:rsidR="00550BE6" w:rsidRPr="004A2C39">
        <w:rPr>
          <w:rFonts w:ascii="仿宋_GB2312" w:eastAsia="仿宋_GB2312" w:hAnsi="仿宋_GB2312" w:cs="仿宋_GB2312" w:hint="eastAsia"/>
          <w:sz w:val="32"/>
          <w:szCs w:val="32"/>
        </w:rPr>
        <w:t>大型水利水电设施：大（2）型及以上大型水库大坝、堤防、供水枢纽，引水、调水工程中的重要建筑物等。</w:t>
      </w:r>
    </w:p>
    <w:p w:rsidR="0098517D" w:rsidRPr="004A2C39" w:rsidRDefault="0008476C">
      <w:pPr>
        <w:adjustRightInd w:val="0"/>
        <w:snapToGrid w:val="0"/>
        <w:spacing w:line="560" w:lineRule="exact"/>
        <w:ind w:firstLineChars="200" w:firstLine="640"/>
        <w:rPr>
          <w:rFonts w:ascii="仿宋_GB2312" w:eastAsia="仿宋_GB2312" w:hAnsi="仿宋_GB2312" w:cs="仿宋_GB2312"/>
          <w:sz w:val="32"/>
          <w:szCs w:val="32"/>
        </w:rPr>
      </w:pPr>
      <w:r w:rsidRPr="004A2C39">
        <w:rPr>
          <w:rFonts w:ascii="仿宋_GB2312" w:eastAsia="仿宋_GB2312" w:hAnsi="仿宋_GB2312" w:cs="仿宋_GB2312"/>
          <w:sz w:val="32"/>
          <w:szCs w:val="32"/>
        </w:rPr>
        <w:t>3</w:t>
      </w:r>
      <w:r w:rsidR="00550BE6" w:rsidRPr="004A2C39">
        <w:rPr>
          <w:rFonts w:ascii="仿宋_GB2312" w:eastAsia="仿宋_GB2312" w:hAnsi="仿宋_GB2312" w:cs="仿宋_GB2312" w:hint="eastAsia"/>
          <w:sz w:val="32"/>
          <w:szCs w:val="32"/>
        </w:rPr>
        <w:t>.重大能源基地：</w:t>
      </w:r>
      <w:r w:rsidR="00651F30">
        <w:rPr>
          <w:rFonts w:ascii="仿宋_GB2312" w:eastAsia="仿宋_GB2312" w:hAnsi="仿宋_GB2312" w:cs="仿宋_GB2312" w:hint="eastAsia"/>
          <w:sz w:val="32"/>
          <w:szCs w:val="32"/>
        </w:rPr>
        <w:t>百</w:t>
      </w:r>
      <w:r w:rsidR="00550BE6" w:rsidRPr="004A2C39">
        <w:rPr>
          <w:rFonts w:ascii="仿宋_GB2312" w:eastAsia="仿宋_GB2312" w:hAnsi="仿宋_GB2312" w:cs="仿宋_GB2312" w:hint="eastAsia"/>
          <w:sz w:val="32"/>
          <w:szCs w:val="32"/>
        </w:rPr>
        <w:t>万千瓦级新能源基地（风电、光伏、储能电站等）；</w:t>
      </w:r>
      <w:r w:rsidRPr="004A2C39">
        <w:rPr>
          <w:rFonts w:ascii="仿宋_GB2312" w:eastAsia="仿宋_GB2312" w:hAnsi="仿宋_GB2312" w:cs="仿宋_GB2312" w:hint="eastAsia"/>
          <w:sz w:val="32"/>
          <w:szCs w:val="32"/>
        </w:rPr>
        <w:t>大型</w:t>
      </w:r>
      <w:r w:rsidR="00550BE6" w:rsidRPr="004A2C39">
        <w:rPr>
          <w:rFonts w:ascii="仿宋_GB2312" w:eastAsia="仿宋_GB2312" w:hAnsi="仿宋_GB2312" w:cs="仿宋_GB2312" w:hint="eastAsia"/>
          <w:sz w:val="32"/>
          <w:szCs w:val="32"/>
        </w:rPr>
        <w:t>煤炭基地。</w:t>
      </w:r>
    </w:p>
    <w:p w:rsidR="0098517D" w:rsidRPr="004A2C39" w:rsidRDefault="0008476C">
      <w:pPr>
        <w:adjustRightInd w:val="0"/>
        <w:snapToGrid w:val="0"/>
        <w:spacing w:line="560" w:lineRule="exact"/>
        <w:ind w:firstLineChars="200" w:firstLine="640"/>
        <w:rPr>
          <w:rFonts w:ascii="仿宋_GB2312" w:eastAsia="仿宋_GB2312" w:hAnsi="仿宋_GB2312" w:cs="仿宋_GB2312"/>
          <w:sz w:val="32"/>
          <w:szCs w:val="32"/>
        </w:rPr>
      </w:pPr>
      <w:r w:rsidRPr="004A2C39">
        <w:rPr>
          <w:rFonts w:ascii="仿宋_GB2312" w:eastAsia="仿宋_GB2312" w:hAnsi="仿宋_GB2312" w:cs="仿宋_GB2312"/>
          <w:sz w:val="32"/>
          <w:szCs w:val="32"/>
        </w:rPr>
        <w:t>4</w:t>
      </w:r>
      <w:r w:rsidR="00550BE6" w:rsidRPr="004A2C39">
        <w:rPr>
          <w:rFonts w:ascii="仿宋_GB2312" w:eastAsia="仿宋_GB2312" w:hAnsi="仿宋_GB2312" w:cs="仿宋_GB2312" w:hint="eastAsia"/>
          <w:sz w:val="32"/>
          <w:szCs w:val="32"/>
        </w:rPr>
        <w:t>.油气储运骨干工程：油气干线输送管道；</w:t>
      </w:r>
      <w:r w:rsidR="00B67398">
        <w:rPr>
          <w:rFonts w:ascii="仿宋_GB2312" w:eastAsia="仿宋_GB2312" w:hAnsi="仿宋_GB2312" w:cs="仿宋_GB2312" w:hint="eastAsia"/>
          <w:sz w:val="32"/>
          <w:szCs w:val="32"/>
        </w:rPr>
        <w:t>石</w:t>
      </w:r>
      <w:r w:rsidR="00550BE6" w:rsidRPr="004A2C39">
        <w:rPr>
          <w:rFonts w:ascii="仿宋_GB2312" w:eastAsia="仿宋_GB2312" w:hAnsi="仿宋_GB2312" w:cs="仿宋_GB2312" w:hint="eastAsia"/>
          <w:sz w:val="32"/>
          <w:szCs w:val="32"/>
        </w:rPr>
        <w:t>油化工钢制设</w:t>
      </w:r>
      <w:r w:rsidR="00550BE6" w:rsidRPr="004A2C39">
        <w:rPr>
          <w:rFonts w:ascii="仿宋_GB2312" w:eastAsia="仿宋_GB2312" w:hAnsi="仿宋_GB2312" w:cs="仿宋_GB2312" w:hint="eastAsia"/>
          <w:sz w:val="32"/>
          <w:szCs w:val="32"/>
        </w:rPr>
        <w:lastRenderedPageBreak/>
        <w:t>备中公称容积</w:t>
      </w:r>
      <w:r w:rsidR="00A31BB7" w:rsidRPr="00A31BB7">
        <w:rPr>
          <w:rFonts w:ascii="仿宋_GB2312" w:eastAsia="仿宋_GB2312" w:hAnsi="仿宋_GB2312" w:cs="仿宋_GB2312" w:hint="eastAsia"/>
          <w:sz w:val="32"/>
          <w:szCs w:val="32"/>
        </w:rPr>
        <w:t>≥</w:t>
      </w:r>
      <w:bookmarkStart w:id="8" w:name="_GoBack"/>
      <w:bookmarkEnd w:id="8"/>
      <w:r w:rsidR="00550BE6" w:rsidRPr="004A2C39">
        <w:rPr>
          <w:rFonts w:ascii="仿宋_GB2312" w:eastAsia="仿宋_GB2312" w:hAnsi="仿宋_GB2312" w:cs="仿宋_GB2312" w:hint="eastAsia"/>
          <w:sz w:val="32"/>
          <w:szCs w:val="32"/>
        </w:rPr>
        <w:t>30000m</w:t>
      </w:r>
      <w:r w:rsidR="00550BE6" w:rsidRPr="00651F30">
        <w:rPr>
          <w:rFonts w:ascii="仿宋_GB2312" w:eastAsia="仿宋_GB2312" w:hAnsi="仿宋_GB2312" w:cs="仿宋_GB2312" w:hint="eastAsia"/>
          <w:sz w:val="32"/>
          <w:szCs w:val="32"/>
          <w:vertAlign w:val="superscript"/>
        </w:rPr>
        <w:t>3</w:t>
      </w:r>
      <w:r w:rsidR="00550BE6" w:rsidRPr="004A2C39">
        <w:rPr>
          <w:rFonts w:ascii="仿宋_GB2312" w:eastAsia="仿宋_GB2312" w:hAnsi="仿宋_GB2312" w:cs="仿宋_GB2312" w:hint="eastAsia"/>
          <w:sz w:val="32"/>
          <w:szCs w:val="32"/>
        </w:rPr>
        <w:t xml:space="preserve">的立式圆筒形储罐和高度大于80m的裙座式直立设备。 </w:t>
      </w:r>
    </w:p>
    <w:p w:rsidR="0098517D" w:rsidRPr="004A2C39" w:rsidRDefault="0008476C">
      <w:pPr>
        <w:adjustRightInd w:val="0"/>
        <w:snapToGrid w:val="0"/>
        <w:spacing w:line="560" w:lineRule="exact"/>
        <w:ind w:firstLineChars="200" w:firstLine="640"/>
        <w:rPr>
          <w:rFonts w:ascii="仿宋_GB2312" w:eastAsia="仿宋_GB2312" w:hAnsi="仿宋_GB2312" w:cs="仿宋_GB2312"/>
          <w:sz w:val="32"/>
          <w:szCs w:val="32"/>
        </w:rPr>
      </w:pPr>
      <w:r w:rsidRPr="004A2C39">
        <w:rPr>
          <w:rFonts w:ascii="仿宋_GB2312" w:eastAsia="仿宋_GB2312" w:hAnsi="仿宋_GB2312" w:cs="仿宋_GB2312"/>
          <w:sz w:val="32"/>
          <w:szCs w:val="32"/>
        </w:rPr>
        <w:t>5</w:t>
      </w:r>
      <w:r w:rsidR="00550BE6" w:rsidRPr="004A2C39">
        <w:rPr>
          <w:rFonts w:ascii="仿宋_GB2312" w:eastAsia="仿宋_GB2312" w:hAnsi="仿宋_GB2312" w:cs="仿宋_GB2312" w:hint="eastAsia"/>
          <w:sz w:val="32"/>
          <w:szCs w:val="32"/>
        </w:rPr>
        <w:t>.国家电力系统枢纽工程：国家和区域电力调度中心；国家骨干电网枢纽变电站。</w:t>
      </w:r>
    </w:p>
    <w:p w:rsidR="0098517D" w:rsidRPr="004A2C39" w:rsidRDefault="0008476C">
      <w:pPr>
        <w:adjustRightInd w:val="0"/>
        <w:snapToGrid w:val="0"/>
        <w:spacing w:line="560" w:lineRule="exact"/>
        <w:ind w:firstLineChars="200" w:firstLine="640"/>
        <w:rPr>
          <w:rFonts w:ascii="仿宋_GB2312" w:eastAsia="仿宋_GB2312" w:hAnsi="仿宋_GB2312" w:cs="仿宋_GB2312"/>
          <w:sz w:val="32"/>
          <w:szCs w:val="32"/>
        </w:rPr>
      </w:pPr>
      <w:r w:rsidRPr="004A2C39">
        <w:rPr>
          <w:rFonts w:ascii="仿宋_GB2312" w:eastAsia="仿宋_GB2312" w:hAnsi="仿宋_GB2312" w:cs="仿宋_GB2312"/>
          <w:sz w:val="32"/>
          <w:szCs w:val="32"/>
        </w:rPr>
        <w:t>6</w:t>
      </w:r>
      <w:r w:rsidR="00550BE6" w:rsidRPr="004A2C39">
        <w:rPr>
          <w:rFonts w:ascii="仿宋_GB2312" w:eastAsia="仿宋_GB2312" w:hAnsi="仿宋_GB2312" w:cs="仿宋_GB2312" w:hint="eastAsia"/>
          <w:sz w:val="32"/>
          <w:szCs w:val="32"/>
        </w:rPr>
        <w:t>.国家信息枢纽节点：机架数量为3000至10000个的大型国家级信息中心或机架数量超过10000</w:t>
      </w:r>
      <w:r w:rsidRPr="004A2C39">
        <w:rPr>
          <w:rFonts w:ascii="仿宋_GB2312" w:eastAsia="仿宋_GB2312" w:hAnsi="仿宋_GB2312" w:cs="仿宋_GB2312" w:hint="eastAsia"/>
          <w:sz w:val="32"/>
          <w:szCs w:val="32"/>
        </w:rPr>
        <w:t>个的超</w:t>
      </w:r>
      <w:r w:rsidR="00550BE6" w:rsidRPr="004A2C39">
        <w:rPr>
          <w:rFonts w:ascii="仿宋_GB2312" w:eastAsia="仿宋_GB2312" w:hAnsi="仿宋_GB2312" w:cs="仿宋_GB2312" w:hint="eastAsia"/>
          <w:sz w:val="32"/>
          <w:szCs w:val="32"/>
        </w:rPr>
        <w:t>大型国家级信息中心，或其他国家级信息中心建筑。</w:t>
      </w:r>
    </w:p>
    <w:p w:rsidR="0098517D" w:rsidRPr="004A2C39" w:rsidRDefault="0008476C" w:rsidP="0008476C">
      <w:pPr>
        <w:adjustRightInd w:val="0"/>
        <w:snapToGrid w:val="0"/>
        <w:spacing w:line="560" w:lineRule="exact"/>
        <w:ind w:firstLineChars="200" w:firstLine="640"/>
        <w:rPr>
          <w:rFonts w:ascii="仿宋_GB2312" w:eastAsia="仿宋_GB2312" w:hAnsi="仿宋_GB2312" w:cs="仿宋_GB2312"/>
          <w:sz w:val="32"/>
          <w:szCs w:val="32"/>
        </w:rPr>
      </w:pPr>
      <w:r w:rsidRPr="004A2C39">
        <w:rPr>
          <w:rFonts w:ascii="仿宋_GB2312" w:eastAsia="仿宋_GB2312" w:hAnsi="仿宋_GB2312" w:cs="仿宋_GB2312" w:hint="eastAsia"/>
          <w:sz w:val="32"/>
          <w:szCs w:val="32"/>
        </w:rPr>
        <w:t>7</w:t>
      </w:r>
      <w:r w:rsidRPr="004A2C39">
        <w:rPr>
          <w:rFonts w:ascii="仿宋_GB2312" w:eastAsia="仿宋_GB2312" w:hAnsi="仿宋_GB2312" w:cs="仿宋_GB2312"/>
          <w:sz w:val="32"/>
          <w:szCs w:val="32"/>
        </w:rPr>
        <w:t>.</w:t>
      </w:r>
      <w:r w:rsidR="00550BE6" w:rsidRPr="004A2C39">
        <w:rPr>
          <w:rFonts w:ascii="仿宋_GB2312" w:eastAsia="仿宋_GB2312" w:hAnsi="仿宋_GB2312" w:cs="仿宋_GB2312" w:hint="eastAsia"/>
          <w:sz w:val="32"/>
          <w:szCs w:val="32"/>
        </w:rPr>
        <w:t>超高层建筑：高度超过200米的建筑。</w:t>
      </w:r>
    </w:p>
    <w:p w:rsidR="0098517D" w:rsidRPr="004A2C39" w:rsidRDefault="0008476C">
      <w:pPr>
        <w:adjustRightInd w:val="0"/>
        <w:snapToGrid w:val="0"/>
        <w:spacing w:line="560" w:lineRule="exact"/>
        <w:ind w:firstLineChars="200" w:firstLine="640"/>
        <w:rPr>
          <w:rFonts w:ascii="仿宋_GB2312" w:eastAsia="仿宋_GB2312" w:hAnsi="仿宋_GB2312" w:cs="仿宋_GB2312"/>
          <w:sz w:val="32"/>
          <w:szCs w:val="32"/>
        </w:rPr>
      </w:pPr>
      <w:r w:rsidRPr="004A2C39">
        <w:rPr>
          <w:rFonts w:ascii="仿宋_GB2312" w:eastAsia="仿宋_GB2312" w:hAnsi="仿宋_GB2312" w:cs="仿宋_GB2312" w:hint="eastAsia"/>
          <w:sz w:val="32"/>
          <w:szCs w:val="32"/>
        </w:rPr>
        <w:t>8</w:t>
      </w:r>
      <w:r w:rsidRPr="004A2C39">
        <w:rPr>
          <w:rFonts w:ascii="仿宋_GB2312" w:eastAsia="仿宋_GB2312" w:hAnsi="仿宋_GB2312" w:cs="仿宋_GB2312"/>
          <w:sz w:val="32"/>
          <w:szCs w:val="32"/>
        </w:rPr>
        <w:t>.</w:t>
      </w:r>
      <w:r w:rsidR="00550BE6" w:rsidRPr="004A2C39">
        <w:rPr>
          <w:rFonts w:ascii="仿宋_GB2312" w:eastAsia="仿宋_GB2312" w:hAnsi="仿宋_GB2312" w:cs="仿宋_GB2312" w:hint="eastAsia"/>
          <w:sz w:val="32"/>
          <w:szCs w:val="32"/>
        </w:rPr>
        <w:t>其他：中央级救灾物资储备库、危险化学品生产储存设施、重大科学装置工程等可能影响国计民生、国家战略、国家安全的重大基础设施。</w:t>
      </w:r>
    </w:p>
    <w:p w:rsidR="0098517D" w:rsidRPr="004A2C39" w:rsidRDefault="00550BE6">
      <w:pPr>
        <w:adjustRightInd w:val="0"/>
        <w:snapToGrid w:val="0"/>
        <w:spacing w:line="560" w:lineRule="exact"/>
        <w:ind w:firstLineChars="200" w:firstLine="640"/>
        <w:rPr>
          <w:rFonts w:ascii="楷体_GB2312" w:eastAsia="楷体_GB2312" w:hAnsi="楷体_GB2312" w:cs="楷体_GB2312"/>
          <w:sz w:val="32"/>
          <w:szCs w:val="32"/>
        </w:rPr>
      </w:pPr>
      <w:r w:rsidRPr="004A2C39">
        <w:rPr>
          <w:rFonts w:ascii="楷体_GB2312" w:eastAsia="楷体_GB2312" w:hAnsi="楷体_GB2312" w:cs="楷体_GB2312" w:hint="eastAsia"/>
          <w:sz w:val="32"/>
          <w:szCs w:val="32"/>
        </w:rPr>
        <w:t>（二）风险摸排和资料收集</w:t>
      </w:r>
    </w:p>
    <w:p w:rsidR="0098517D" w:rsidRPr="004A2C39" w:rsidRDefault="00550BE6">
      <w:pPr>
        <w:adjustRightInd w:val="0"/>
        <w:snapToGrid w:val="0"/>
        <w:spacing w:line="560" w:lineRule="exact"/>
        <w:ind w:firstLineChars="200" w:firstLine="640"/>
        <w:rPr>
          <w:rFonts w:ascii="仿宋_GB2312" w:eastAsia="仿宋_GB2312" w:hAnsi="仿宋_GB2312" w:cs="仿宋_GB2312"/>
          <w:sz w:val="32"/>
          <w:szCs w:val="32"/>
        </w:rPr>
      </w:pPr>
      <w:r w:rsidRPr="004A2C39">
        <w:rPr>
          <w:rFonts w:ascii="仿宋_GB2312" w:eastAsia="仿宋_GB2312" w:hAnsi="仿宋_GB2312" w:cs="仿宋_GB2312" w:hint="eastAsia"/>
          <w:sz w:val="32"/>
          <w:szCs w:val="32"/>
        </w:rPr>
        <w:t>各行业主管部门在前期重大基础设施</w:t>
      </w:r>
      <w:proofErr w:type="gramStart"/>
      <w:r w:rsidRPr="004A2C39">
        <w:rPr>
          <w:rFonts w:ascii="仿宋_GB2312" w:eastAsia="仿宋_GB2312" w:hAnsi="仿宋_GB2312" w:cs="仿宋_GB2312" w:hint="eastAsia"/>
          <w:sz w:val="32"/>
          <w:szCs w:val="32"/>
        </w:rPr>
        <w:t>涉灾风险</w:t>
      </w:r>
      <w:proofErr w:type="gramEnd"/>
      <w:r w:rsidRPr="004A2C39">
        <w:rPr>
          <w:rFonts w:ascii="仿宋_GB2312" w:eastAsia="仿宋_GB2312" w:hAnsi="仿宋_GB2312" w:cs="仿宋_GB2312" w:hint="eastAsia"/>
          <w:sz w:val="32"/>
          <w:szCs w:val="32"/>
        </w:rPr>
        <w:t>隐患排查的基础上，进一步开展补充摸排，全面掌握我市重大基础设施基本情况。做好</w:t>
      </w:r>
      <w:r w:rsidR="00871283" w:rsidRPr="004A2C39">
        <w:rPr>
          <w:rFonts w:ascii="仿宋_GB2312" w:eastAsia="仿宋_GB2312" w:hAnsi="仿宋_GB2312" w:cs="仿宋_GB2312" w:hint="eastAsia"/>
          <w:sz w:val="32"/>
          <w:szCs w:val="32"/>
        </w:rPr>
        <w:t>基础信息</w:t>
      </w:r>
      <w:r w:rsidRPr="004A2C39">
        <w:rPr>
          <w:rFonts w:ascii="仿宋_GB2312" w:eastAsia="仿宋_GB2312" w:hAnsi="仿宋_GB2312" w:cs="仿宋_GB2312" w:hint="eastAsia"/>
          <w:sz w:val="32"/>
          <w:szCs w:val="32"/>
        </w:rPr>
        <w:t>登记汇总</w:t>
      </w:r>
      <w:r w:rsidR="00871283" w:rsidRPr="004A2C39">
        <w:rPr>
          <w:rFonts w:ascii="仿宋_GB2312" w:eastAsia="仿宋_GB2312" w:hAnsi="仿宋_GB2312" w:cs="仿宋_GB2312" w:hint="eastAsia"/>
          <w:sz w:val="32"/>
          <w:szCs w:val="32"/>
        </w:rPr>
        <w:t>，并及时将排查结果报市抗震救灾指挥部办公室</w:t>
      </w:r>
      <w:r w:rsidRPr="004A2C39">
        <w:rPr>
          <w:rFonts w:ascii="仿宋_GB2312" w:eastAsia="仿宋_GB2312" w:hAnsi="仿宋_GB2312" w:cs="仿宋_GB2312" w:hint="eastAsia"/>
          <w:sz w:val="32"/>
          <w:szCs w:val="32"/>
        </w:rPr>
        <w:t>（详见附件1）。</w:t>
      </w:r>
    </w:p>
    <w:p w:rsidR="0098517D" w:rsidRPr="004A2C39" w:rsidRDefault="00550BE6">
      <w:pPr>
        <w:adjustRightInd w:val="0"/>
        <w:snapToGrid w:val="0"/>
        <w:spacing w:line="560" w:lineRule="exact"/>
        <w:ind w:firstLineChars="200" w:firstLine="640"/>
        <w:rPr>
          <w:rFonts w:ascii="楷体_GB2312" w:eastAsia="楷体_GB2312" w:hAnsi="楷体_GB2312" w:cs="楷体_GB2312"/>
          <w:sz w:val="32"/>
          <w:szCs w:val="32"/>
        </w:rPr>
      </w:pPr>
      <w:r w:rsidRPr="004A2C39">
        <w:rPr>
          <w:rFonts w:ascii="楷体_GB2312" w:eastAsia="楷体_GB2312" w:hAnsi="楷体_GB2312" w:cs="楷体_GB2312"/>
          <w:sz w:val="32"/>
          <w:szCs w:val="32"/>
        </w:rPr>
        <w:t>（三）</w:t>
      </w:r>
      <w:r w:rsidRPr="004A2C39">
        <w:rPr>
          <w:rFonts w:ascii="楷体_GB2312" w:eastAsia="楷体_GB2312" w:hAnsi="楷体_GB2312" w:cs="楷体_GB2312" w:hint="eastAsia"/>
          <w:sz w:val="32"/>
          <w:szCs w:val="32"/>
        </w:rPr>
        <w:t>实施监测评估</w:t>
      </w:r>
    </w:p>
    <w:p w:rsidR="0098517D" w:rsidRPr="004A2C39" w:rsidRDefault="00550BE6">
      <w:pPr>
        <w:pStyle w:val="a8"/>
        <w:widowControl/>
        <w:shd w:val="clear" w:color="auto" w:fill="FFFFFF"/>
        <w:snapToGrid w:val="0"/>
        <w:spacing w:line="560" w:lineRule="exact"/>
        <w:ind w:firstLineChars="200" w:firstLine="640"/>
        <w:rPr>
          <w:rFonts w:ascii="仿宋_GB2312" w:eastAsia="仿宋_GB2312" w:hAnsi="仿宋_GB2312" w:cs="仿宋_GB2312"/>
          <w:sz w:val="32"/>
          <w:szCs w:val="32"/>
        </w:rPr>
      </w:pPr>
      <w:r w:rsidRPr="004A2C39">
        <w:rPr>
          <w:rFonts w:ascii="仿宋_GB2312" w:eastAsia="仿宋_GB2312" w:hAnsi="仿宋_GB2312" w:cs="仿宋_GB2312" w:hint="eastAsia"/>
          <w:sz w:val="32"/>
          <w:szCs w:val="32"/>
        </w:rPr>
        <w:t>采用震前监测、震时预警、震后恢复加固的全周期管理模式，</w:t>
      </w:r>
      <w:r w:rsidRPr="004A2C39">
        <w:rPr>
          <w:rFonts w:ascii="仿宋_GB2312" w:eastAsia="仿宋_GB2312" w:hAnsi="仿宋_GB2312" w:cs="仿宋_GB2312"/>
          <w:sz w:val="32"/>
          <w:szCs w:val="32"/>
        </w:rPr>
        <w:t>通过部署</w:t>
      </w:r>
      <w:r w:rsidRPr="004A2C39">
        <w:rPr>
          <w:rFonts w:ascii="仿宋_GB2312" w:eastAsia="仿宋_GB2312" w:hAnsi="仿宋_GB2312" w:cs="仿宋_GB2312" w:hint="eastAsia"/>
          <w:sz w:val="32"/>
          <w:szCs w:val="32"/>
        </w:rPr>
        <w:t>各类高精度监测设备，</w:t>
      </w:r>
      <w:r w:rsidRPr="004A2C39">
        <w:rPr>
          <w:rFonts w:ascii="仿宋_GB2312" w:eastAsia="仿宋_GB2312" w:hAnsi="仿宋_GB2312" w:cs="仿宋_GB2312"/>
          <w:sz w:val="32"/>
          <w:szCs w:val="32"/>
        </w:rPr>
        <w:t>建设地震响应监测与风险评估系统，</w:t>
      </w:r>
      <w:r w:rsidRPr="004A2C39">
        <w:rPr>
          <w:rFonts w:ascii="仿宋_GB2312" w:eastAsia="仿宋_GB2312" w:hAnsi="仿宋_GB2312" w:cs="仿宋_GB2312" w:hint="eastAsia"/>
          <w:sz w:val="32"/>
          <w:szCs w:val="32"/>
        </w:rPr>
        <w:t>对重大基础设施在地震或强风等极端事件作用下的应变响应、位移响应、加速度响应、强震动等进行</w:t>
      </w:r>
      <w:proofErr w:type="gramStart"/>
      <w:r w:rsidRPr="004A2C39">
        <w:rPr>
          <w:rFonts w:ascii="仿宋_GB2312" w:eastAsia="仿宋_GB2312" w:hAnsi="仿宋_GB2312" w:cs="仿宋_GB2312"/>
          <w:sz w:val="32"/>
          <w:szCs w:val="32"/>
        </w:rPr>
        <w:t>实时化监测</w:t>
      </w:r>
      <w:proofErr w:type="gramEnd"/>
      <w:r w:rsidRPr="004A2C39">
        <w:rPr>
          <w:rFonts w:ascii="仿宋_GB2312" w:eastAsia="仿宋_GB2312" w:hAnsi="仿宋_GB2312" w:cs="仿宋_GB2312"/>
          <w:sz w:val="32"/>
          <w:szCs w:val="32"/>
        </w:rPr>
        <w:t>与</w:t>
      </w:r>
      <w:r w:rsidRPr="004A2C39">
        <w:rPr>
          <w:rFonts w:ascii="仿宋_GB2312" w:eastAsia="仿宋_GB2312" w:hAnsi="仿宋_GB2312" w:cs="仿宋_GB2312" w:hint="eastAsia"/>
          <w:sz w:val="32"/>
          <w:szCs w:val="32"/>
        </w:rPr>
        <w:t>智能化风险</w:t>
      </w:r>
      <w:r w:rsidRPr="004A2C39">
        <w:rPr>
          <w:rFonts w:ascii="仿宋_GB2312" w:eastAsia="仿宋_GB2312" w:hAnsi="仿宋_GB2312" w:cs="仿宋_GB2312" w:hint="eastAsia"/>
          <w:sz w:val="32"/>
          <w:szCs w:val="32"/>
        </w:rPr>
        <w:lastRenderedPageBreak/>
        <w:t>评估，为重大基础设施的安全性判断提供决策依据</w:t>
      </w:r>
      <w:r w:rsidRPr="004A2C39">
        <w:rPr>
          <w:rFonts w:ascii="仿宋_GB2312" w:eastAsia="仿宋_GB2312" w:hAnsi="仿宋_GB2312" w:cs="仿宋_GB2312"/>
          <w:sz w:val="32"/>
          <w:szCs w:val="32"/>
        </w:rPr>
        <w:t>，</w:t>
      </w:r>
      <w:r w:rsidRPr="004A2C39">
        <w:rPr>
          <w:rFonts w:ascii="仿宋_GB2312" w:eastAsia="仿宋_GB2312" w:hAnsi="仿宋_GB2312" w:cs="仿宋_GB2312" w:hint="eastAsia"/>
          <w:sz w:val="32"/>
          <w:szCs w:val="32"/>
        </w:rPr>
        <w:t>保障重大基础设施在遭受极端事件冲击时能够有序响应。</w:t>
      </w:r>
    </w:p>
    <w:p w:rsidR="0098517D" w:rsidRPr="004A2C39" w:rsidRDefault="00550BE6">
      <w:pPr>
        <w:pStyle w:val="2"/>
        <w:snapToGrid w:val="0"/>
        <w:spacing w:before="0" w:after="0" w:line="560" w:lineRule="exact"/>
        <w:ind w:leftChars="200" w:left="420" w:firstLineChars="100" w:firstLine="320"/>
        <w:rPr>
          <w:rFonts w:ascii="黑体" w:eastAsia="黑体" w:hAnsi="黑体" w:cs="黑体"/>
          <w:b w:val="0"/>
          <w:bCs w:val="0"/>
          <w:i w:val="0"/>
          <w:iCs w:val="0"/>
          <w:sz w:val="32"/>
          <w:szCs w:val="32"/>
        </w:rPr>
      </w:pPr>
      <w:r w:rsidRPr="004A2C39">
        <w:rPr>
          <w:rFonts w:ascii="黑体" w:eastAsia="黑体" w:hAnsi="黑体" w:cs="黑体" w:hint="eastAsia"/>
          <w:b w:val="0"/>
          <w:bCs w:val="0"/>
          <w:i w:val="0"/>
          <w:iCs w:val="0"/>
          <w:sz w:val="32"/>
          <w:szCs w:val="32"/>
        </w:rPr>
        <w:t>四、实施步骤</w:t>
      </w:r>
    </w:p>
    <w:p w:rsidR="0098517D" w:rsidRPr="004A2C39" w:rsidRDefault="00550BE6">
      <w:pPr>
        <w:adjustRightInd w:val="0"/>
        <w:snapToGrid w:val="0"/>
        <w:spacing w:line="560" w:lineRule="exact"/>
        <w:ind w:firstLineChars="200" w:firstLine="640"/>
        <w:rPr>
          <w:rFonts w:ascii="仿宋_GB2312" w:eastAsia="仿宋_GB2312" w:hAnsi="仿宋_GB2312" w:cs="仿宋_GB2312"/>
          <w:sz w:val="32"/>
          <w:szCs w:val="32"/>
        </w:rPr>
      </w:pPr>
      <w:r w:rsidRPr="004A2C39">
        <w:rPr>
          <w:rFonts w:ascii="楷体_GB2312" w:eastAsia="楷体_GB2312" w:hAnsi="楷体_GB2312" w:cs="楷体_GB2312" w:hint="eastAsia"/>
          <w:sz w:val="32"/>
          <w:szCs w:val="32"/>
        </w:rPr>
        <w:t>（一）</w:t>
      </w:r>
      <w:r w:rsidR="00E77632">
        <w:rPr>
          <w:rFonts w:ascii="楷体_GB2312" w:eastAsia="楷体_GB2312" w:hAnsi="楷体_GB2312" w:cs="楷体_GB2312" w:hint="eastAsia"/>
          <w:sz w:val="32"/>
          <w:szCs w:val="32"/>
        </w:rPr>
        <w:t>印发文件</w:t>
      </w:r>
      <w:r w:rsidRPr="004A2C39">
        <w:rPr>
          <w:rFonts w:ascii="楷体_GB2312" w:eastAsia="楷体_GB2312" w:hAnsi="楷体_GB2312" w:cs="楷体_GB2312" w:hint="eastAsia"/>
          <w:sz w:val="32"/>
          <w:szCs w:val="32"/>
        </w:rPr>
        <w:t>：</w:t>
      </w:r>
      <w:r w:rsidRPr="004A2C39">
        <w:rPr>
          <w:rFonts w:ascii="仿宋_GB2312" w:eastAsia="仿宋_GB2312" w:hAnsi="仿宋_GB2312" w:cs="仿宋_GB2312" w:hint="eastAsia"/>
          <w:sz w:val="32"/>
          <w:szCs w:val="32"/>
        </w:rPr>
        <w:t>认真学习国家相关政策要求，积极与省级部门对接，明确工作方向和重点，制定《济南市重大基础设施地震灾害风险监测评估实施意见》并印发。</w:t>
      </w:r>
    </w:p>
    <w:p w:rsidR="0098517D" w:rsidRPr="004A2C39" w:rsidRDefault="00550BE6">
      <w:pPr>
        <w:adjustRightInd w:val="0"/>
        <w:snapToGrid w:val="0"/>
        <w:spacing w:line="560" w:lineRule="exact"/>
        <w:ind w:firstLineChars="200" w:firstLine="640"/>
        <w:rPr>
          <w:rFonts w:ascii="仿宋_GB2312" w:eastAsia="仿宋_GB2312" w:hAnsi="仿宋_GB2312" w:cs="仿宋_GB2312"/>
          <w:sz w:val="32"/>
          <w:szCs w:val="32"/>
        </w:rPr>
      </w:pPr>
      <w:r w:rsidRPr="004A2C39">
        <w:rPr>
          <w:rFonts w:ascii="楷体_GB2312" w:eastAsia="楷体_GB2312" w:hAnsi="楷体_GB2312" w:cs="楷体_GB2312"/>
          <w:sz w:val="32"/>
          <w:szCs w:val="32"/>
        </w:rPr>
        <w:t>（二）</w:t>
      </w:r>
      <w:r w:rsidRPr="004A2C39">
        <w:rPr>
          <w:rFonts w:ascii="楷体_GB2312" w:eastAsia="楷体_GB2312" w:hAnsi="楷体_GB2312" w:cs="楷体_GB2312" w:hint="eastAsia"/>
          <w:sz w:val="32"/>
          <w:szCs w:val="32"/>
        </w:rPr>
        <w:t>风险摸排：</w:t>
      </w:r>
      <w:r w:rsidRPr="004A2C39">
        <w:rPr>
          <w:rFonts w:ascii="仿宋_GB2312" w:eastAsia="仿宋_GB2312" w:hAnsi="仿宋_GB2312" w:cs="仿宋_GB2312" w:hint="eastAsia"/>
          <w:sz w:val="32"/>
          <w:szCs w:val="32"/>
        </w:rPr>
        <w:t>开展重大基础设施地震灾害风险摸排，建立基础数据库，掌握地震灾害风险第一手资料，为开展重大基础设施地震灾害风险监测评估打下坚实基础。</w:t>
      </w:r>
    </w:p>
    <w:p w:rsidR="00871283" w:rsidRPr="004A2C39" w:rsidRDefault="00550BE6">
      <w:pPr>
        <w:adjustRightInd w:val="0"/>
        <w:snapToGrid w:val="0"/>
        <w:spacing w:line="560" w:lineRule="exact"/>
        <w:ind w:firstLineChars="200" w:firstLine="640"/>
        <w:rPr>
          <w:rFonts w:ascii="仿宋_GB2312" w:eastAsia="仿宋_GB2312" w:hAnsi="仿宋_GB2312" w:cs="仿宋_GB2312"/>
          <w:sz w:val="32"/>
          <w:szCs w:val="32"/>
        </w:rPr>
      </w:pPr>
      <w:r w:rsidRPr="004A2C39">
        <w:rPr>
          <w:rFonts w:ascii="楷体_GB2312" w:eastAsia="楷体_GB2312" w:hAnsi="楷体_GB2312" w:cs="楷体_GB2312" w:hint="eastAsia"/>
          <w:sz w:val="32"/>
          <w:szCs w:val="32"/>
        </w:rPr>
        <w:t>（三）分</w:t>
      </w:r>
      <w:r w:rsidR="00871283" w:rsidRPr="004A2C39">
        <w:rPr>
          <w:rFonts w:ascii="楷体_GB2312" w:eastAsia="楷体_GB2312" w:hAnsi="楷体_GB2312" w:cs="楷体_GB2312" w:hint="eastAsia"/>
          <w:sz w:val="32"/>
          <w:szCs w:val="32"/>
        </w:rPr>
        <w:t>期</w:t>
      </w:r>
      <w:r w:rsidRPr="004A2C39">
        <w:rPr>
          <w:rFonts w:ascii="楷体_GB2312" w:eastAsia="楷体_GB2312" w:hAnsi="楷体_GB2312" w:cs="楷体_GB2312" w:hint="eastAsia"/>
          <w:sz w:val="32"/>
          <w:szCs w:val="32"/>
        </w:rPr>
        <w:t>实施：</w:t>
      </w:r>
      <w:r w:rsidRPr="004A2C39">
        <w:rPr>
          <w:rFonts w:ascii="仿宋_GB2312" w:eastAsia="仿宋_GB2312" w:hAnsi="仿宋_GB2312" w:cs="仿宋_GB2312" w:hint="eastAsia"/>
          <w:sz w:val="32"/>
          <w:szCs w:val="32"/>
        </w:rPr>
        <w:t>根据摸排结果，优先在重大交通基础设施、超高层建筑、大型水库和</w:t>
      </w:r>
      <w:r w:rsidR="00C00728" w:rsidRPr="004A2C39">
        <w:rPr>
          <w:rFonts w:ascii="仿宋_GB2312" w:eastAsia="仿宋_GB2312" w:hAnsi="仿宋_GB2312" w:cs="仿宋_GB2312" w:hint="eastAsia"/>
          <w:sz w:val="32"/>
          <w:szCs w:val="32"/>
        </w:rPr>
        <w:t>大型数据中心</w:t>
      </w:r>
      <w:r w:rsidR="00871283" w:rsidRPr="004A2C39">
        <w:rPr>
          <w:rFonts w:ascii="仿宋_GB2312" w:eastAsia="仿宋_GB2312" w:hAnsi="仿宋_GB2312" w:cs="仿宋_GB2312" w:hint="eastAsia"/>
          <w:sz w:val="32"/>
          <w:szCs w:val="32"/>
        </w:rPr>
        <w:t>等项目</w:t>
      </w:r>
      <w:r w:rsidRPr="004A2C39">
        <w:rPr>
          <w:rFonts w:ascii="仿宋_GB2312" w:eastAsia="仿宋_GB2312" w:hAnsi="仿宋_GB2312" w:cs="仿宋_GB2312" w:hint="eastAsia"/>
          <w:sz w:val="32"/>
          <w:szCs w:val="32"/>
        </w:rPr>
        <w:t>中选择</w:t>
      </w:r>
      <w:r w:rsidR="00871283" w:rsidRPr="004A2C39">
        <w:rPr>
          <w:rFonts w:ascii="仿宋_GB2312" w:eastAsia="仿宋_GB2312" w:hAnsi="仿宋_GB2312" w:cs="仿宋_GB2312" w:hint="eastAsia"/>
          <w:sz w:val="32"/>
          <w:szCs w:val="32"/>
        </w:rPr>
        <w:t>部分具有代表性的项目分期</w:t>
      </w:r>
      <w:r w:rsidRPr="004A2C39">
        <w:rPr>
          <w:rFonts w:ascii="仿宋_GB2312" w:eastAsia="仿宋_GB2312" w:hAnsi="仿宋_GB2312" w:cs="仿宋_GB2312" w:hint="eastAsia"/>
          <w:sz w:val="32"/>
          <w:szCs w:val="32"/>
        </w:rPr>
        <w:t>开展</w:t>
      </w:r>
      <w:r w:rsidR="00B67398">
        <w:rPr>
          <w:rFonts w:ascii="仿宋_GB2312" w:eastAsia="仿宋_GB2312" w:hAnsi="仿宋_GB2312" w:cs="仿宋_GB2312" w:hint="eastAsia"/>
          <w:sz w:val="32"/>
          <w:szCs w:val="32"/>
        </w:rPr>
        <w:t>地震灾害风险监测</w:t>
      </w:r>
      <w:r w:rsidRPr="004A2C39">
        <w:rPr>
          <w:rFonts w:ascii="仿宋_GB2312" w:eastAsia="仿宋_GB2312" w:hAnsi="仿宋_GB2312" w:cs="仿宋_GB2312" w:hint="eastAsia"/>
          <w:sz w:val="32"/>
          <w:szCs w:val="32"/>
        </w:rPr>
        <w:t>评估</w:t>
      </w:r>
      <w:r w:rsidR="00B67398">
        <w:rPr>
          <w:rFonts w:ascii="仿宋_GB2312" w:eastAsia="仿宋_GB2312" w:hAnsi="仿宋_GB2312" w:cs="仿宋_GB2312" w:hint="eastAsia"/>
          <w:sz w:val="32"/>
          <w:szCs w:val="32"/>
        </w:rPr>
        <w:t>工作</w:t>
      </w:r>
      <w:r w:rsidRPr="004A2C39">
        <w:rPr>
          <w:rFonts w:ascii="仿宋_GB2312" w:eastAsia="仿宋_GB2312" w:hAnsi="仿宋_GB2312" w:cs="仿宋_GB2312" w:hint="eastAsia"/>
          <w:sz w:val="32"/>
          <w:szCs w:val="32"/>
        </w:rPr>
        <w:t>。</w:t>
      </w:r>
    </w:p>
    <w:p w:rsidR="0098517D" w:rsidRPr="004A2C39" w:rsidRDefault="00550BE6">
      <w:pPr>
        <w:adjustRightInd w:val="0"/>
        <w:snapToGrid w:val="0"/>
        <w:spacing w:line="560" w:lineRule="exact"/>
        <w:ind w:firstLineChars="200" w:firstLine="640"/>
        <w:rPr>
          <w:rFonts w:ascii="黑体" w:eastAsia="黑体" w:hAnsi="黑体" w:cs="黑体"/>
          <w:sz w:val="32"/>
          <w:szCs w:val="32"/>
        </w:rPr>
      </w:pPr>
      <w:r w:rsidRPr="004A2C39">
        <w:rPr>
          <w:rFonts w:ascii="黑体" w:eastAsia="黑体" w:hAnsi="黑体" w:cs="黑体" w:hint="eastAsia"/>
          <w:sz w:val="32"/>
          <w:szCs w:val="32"/>
        </w:rPr>
        <w:t>五、落实责任</w:t>
      </w:r>
    </w:p>
    <w:p w:rsidR="0098517D" w:rsidRPr="004A2C39" w:rsidRDefault="00550BE6">
      <w:pPr>
        <w:adjustRightInd w:val="0"/>
        <w:snapToGrid w:val="0"/>
        <w:spacing w:line="560" w:lineRule="exact"/>
        <w:ind w:firstLineChars="200" w:firstLine="640"/>
        <w:rPr>
          <w:rFonts w:ascii="仿宋_GB2312" w:eastAsia="仿宋_GB2312" w:hAnsi="仿宋_GB2312" w:cs="仿宋_GB2312"/>
          <w:sz w:val="32"/>
          <w:szCs w:val="32"/>
        </w:rPr>
      </w:pPr>
      <w:r w:rsidRPr="004A2C39">
        <w:rPr>
          <w:rFonts w:ascii="楷体_GB2312" w:eastAsia="楷体_GB2312" w:hAnsi="楷体_GB2312" w:cs="楷体_GB2312" w:hint="eastAsia"/>
          <w:sz w:val="32"/>
          <w:szCs w:val="32"/>
        </w:rPr>
        <w:t>（一）主体责任：</w:t>
      </w:r>
      <w:r w:rsidRPr="004A2C39">
        <w:rPr>
          <w:rFonts w:ascii="仿宋_GB2312" w:eastAsia="仿宋_GB2312" w:hAnsi="仿宋_GB2312" w:cs="仿宋_GB2312" w:hint="eastAsia"/>
          <w:sz w:val="32"/>
          <w:szCs w:val="32"/>
        </w:rPr>
        <w:t>重大基础设施产权单位是</w:t>
      </w:r>
      <w:r w:rsidR="00B67398">
        <w:rPr>
          <w:rFonts w:ascii="仿宋_GB2312" w:eastAsia="仿宋_GB2312" w:hAnsi="仿宋_GB2312" w:cs="仿宋_GB2312" w:hint="eastAsia"/>
          <w:sz w:val="32"/>
          <w:szCs w:val="32"/>
        </w:rPr>
        <w:t>风险</w:t>
      </w:r>
      <w:r w:rsidR="00871283" w:rsidRPr="004A2C39">
        <w:rPr>
          <w:rFonts w:ascii="仿宋_GB2312" w:eastAsia="仿宋_GB2312" w:hAnsi="仿宋_GB2312" w:cs="仿宋_GB2312" w:hint="eastAsia"/>
          <w:sz w:val="32"/>
          <w:szCs w:val="32"/>
        </w:rPr>
        <w:t>监测</w:t>
      </w:r>
      <w:r w:rsidRPr="004A2C39">
        <w:rPr>
          <w:rFonts w:ascii="仿宋_GB2312" w:eastAsia="仿宋_GB2312" w:hAnsi="仿宋_GB2312" w:cs="仿宋_GB2312" w:hint="eastAsia"/>
          <w:sz w:val="32"/>
          <w:szCs w:val="32"/>
        </w:rPr>
        <w:t>评估工作的责任主体，负责组织开展</w:t>
      </w:r>
      <w:r w:rsidR="00871283" w:rsidRPr="004A2C39">
        <w:rPr>
          <w:rFonts w:ascii="仿宋_GB2312" w:eastAsia="仿宋_GB2312" w:hAnsi="仿宋_GB2312" w:cs="仿宋_GB2312" w:hint="eastAsia"/>
          <w:sz w:val="32"/>
          <w:szCs w:val="32"/>
        </w:rPr>
        <w:t>相关重大基础设施的风险监测评估工作</w:t>
      </w:r>
      <w:r w:rsidRPr="004A2C39">
        <w:rPr>
          <w:rFonts w:ascii="仿宋_GB2312" w:eastAsia="仿宋_GB2312" w:hAnsi="仿宋_GB2312" w:cs="仿宋_GB2312" w:hint="eastAsia"/>
          <w:sz w:val="32"/>
          <w:szCs w:val="32"/>
        </w:rPr>
        <w:t>。根据</w:t>
      </w:r>
      <w:r w:rsidR="00B67398">
        <w:rPr>
          <w:rFonts w:ascii="仿宋_GB2312" w:eastAsia="仿宋_GB2312" w:hAnsi="仿宋_GB2312" w:cs="仿宋_GB2312" w:hint="eastAsia"/>
          <w:sz w:val="32"/>
          <w:szCs w:val="32"/>
        </w:rPr>
        <w:t>监测</w:t>
      </w:r>
      <w:r w:rsidRPr="004A2C39">
        <w:rPr>
          <w:rFonts w:ascii="仿宋_GB2312" w:eastAsia="仿宋_GB2312" w:hAnsi="仿宋_GB2312" w:cs="仿宋_GB2312" w:hint="eastAsia"/>
          <w:sz w:val="32"/>
          <w:szCs w:val="32"/>
        </w:rPr>
        <w:t>评估结果，制定重大基础设施地震灾害风险防控方案，明确风险管控措施和治理计划。对高风险重大基础设施，产权单位或管理单位应立即采取加固、限制使用等措施，降低风险等级。</w:t>
      </w:r>
      <w:r w:rsidRPr="004A2C39">
        <w:rPr>
          <w:rFonts w:ascii="仿宋_GB2312" w:eastAsia="仿宋_GB2312" w:hAnsi="仿宋_GB2312" w:cs="仿宋_GB2312"/>
          <w:sz w:val="32"/>
          <w:szCs w:val="32"/>
        </w:rPr>
        <w:t>鼓励结合在建重大工程健康监测系统建设同步开展地震</w:t>
      </w:r>
      <w:r w:rsidRPr="004A2C39">
        <w:rPr>
          <w:rFonts w:ascii="仿宋_GB2312" w:eastAsia="仿宋_GB2312" w:hAnsi="仿宋_GB2312" w:cs="仿宋_GB2312" w:hint="eastAsia"/>
          <w:sz w:val="32"/>
          <w:szCs w:val="32"/>
        </w:rPr>
        <w:t>灾害风险监测评估</w:t>
      </w:r>
      <w:r w:rsidRPr="004A2C39">
        <w:rPr>
          <w:rFonts w:ascii="仿宋_GB2312" w:eastAsia="仿宋_GB2312" w:hAnsi="仿宋_GB2312" w:cs="仿宋_GB2312"/>
          <w:sz w:val="32"/>
          <w:szCs w:val="32"/>
        </w:rPr>
        <w:t>，统筹资源，节约时间、资金、设备、人力，避免重复建设。</w:t>
      </w:r>
    </w:p>
    <w:p w:rsidR="0098517D" w:rsidRPr="004A2C39" w:rsidRDefault="00550BE6">
      <w:pPr>
        <w:pStyle w:val="ds-markdown-paragraph"/>
        <w:shd w:val="clear" w:color="auto" w:fill="FFFFFF"/>
        <w:snapToGrid w:val="0"/>
        <w:spacing w:before="0" w:beforeAutospacing="0" w:after="0" w:afterAutospacing="0" w:line="560" w:lineRule="exact"/>
        <w:ind w:firstLineChars="200" w:firstLine="640"/>
        <w:jc w:val="both"/>
        <w:rPr>
          <w:rFonts w:ascii="仿宋_GB2312" w:eastAsia="仿宋_GB2312" w:hAnsi="仿宋_GB2312" w:cs="仿宋_GB2312"/>
          <w:sz w:val="32"/>
          <w:szCs w:val="32"/>
        </w:rPr>
      </w:pPr>
      <w:r w:rsidRPr="004A2C39">
        <w:rPr>
          <w:rFonts w:ascii="楷体_GB2312" w:eastAsia="楷体_GB2312" w:hAnsi="楷体_GB2312" w:cs="楷体_GB2312" w:hint="eastAsia"/>
          <w:sz w:val="32"/>
          <w:szCs w:val="32"/>
        </w:rPr>
        <w:lastRenderedPageBreak/>
        <w:t>（二）行业监管责任：</w:t>
      </w:r>
      <w:bookmarkStart w:id="9" w:name="OLE_LINK3"/>
      <w:r w:rsidR="00B67398">
        <w:rPr>
          <w:rFonts w:ascii="仿宋_GB2312" w:eastAsia="仿宋_GB2312" w:hAnsi="仿宋_GB2312" w:cs="仿宋_GB2312" w:hint="eastAsia"/>
          <w:sz w:val="32"/>
          <w:szCs w:val="32"/>
        </w:rPr>
        <w:t>市地震工作主管部门利用</w:t>
      </w:r>
      <w:r w:rsidRPr="004A2C39">
        <w:rPr>
          <w:rFonts w:ascii="仿宋_GB2312" w:eastAsia="仿宋_GB2312" w:hAnsi="仿宋_GB2312" w:cs="仿宋_GB2312" w:hint="eastAsia"/>
          <w:sz w:val="32"/>
          <w:szCs w:val="32"/>
        </w:rPr>
        <w:t>济南及周边布设的</w:t>
      </w:r>
      <w:r w:rsidRPr="004A2C39">
        <w:rPr>
          <w:rFonts w:ascii="仿宋_GB2312" w:eastAsia="仿宋_GB2312" w:hAnsi="仿宋_GB2312" w:cs="仿宋_GB2312" w:hint="eastAsia"/>
          <w:kern w:val="2"/>
          <w:sz w:val="32"/>
          <w:szCs w:val="32"/>
        </w:rPr>
        <w:t>地震监测台网数据，建立健全数据共享机制，做好综合协调和技术指导，逐步组建重大基础设施地震灾害风险监测评估网络，</w:t>
      </w:r>
      <w:bookmarkEnd w:id="9"/>
      <w:r w:rsidRPr="004A2C39">
        <w:rPr>
          <w:rFonts w:ascii="仿宋_GB2312" w:eastAsia="仿宋_GB2312" w:hAnsi="仿宋_GB2312" w:cs="仿宋_GB2312" w:hint="eastAsia"/>
          <w:kern w:val="2"/>
          <w:sz w:val="32"/>
          <w:szCs w:val="32"/>
        </w:rPr>
        <w:t>实现数据归集、长期监测和风险动态评估。各行业主管部门</w:t>
      </w:r>
      <w:r w:rsidRPr="004A2C39">
        <w:rPr>
          <w:rFonts w:ascii="仿宋_GB2312" w:eastAsia="仿宋_GB2312" w:hAnsi="仿宋_GB2312" w:cs="仿宋_GB2312"/>
          <w:kern w:val="2"/>
          <w:sz w:val="32"/>
          <w:szCs w:val="32"/>
        </w:rPr>
        <w:t>在摸清重大基础设施底数的基础上，积极引导相关建设单位开展地震灾害风险监测评估</w:t>
      </w:r>
      <w:r w:rsidRPr="004A2C39">
        <w:rPr>
          <w:rFonts w:ascii="仿宋_GB2312" w:eastAsia="仿宋_GB2312" w:hAnsi="仿宋_GB2312" w:cs="仿宋_GB2312" w:hint="eastAsia"/>
          <w:kern w:val="2"/>
          <w:sz w:val="32"/>
          <w:szCs w:val="32"/>
        </w:rPr>
        <w:t>与防控。</w:t>
      </w:r>
    </w:p>
    <w:p w:rsidR="0098517D" w:rsidRPr="004A2C39" w:rsidRDefault="00550BE6">
      <w:pPr>
        <w:adjustRightInd w:val="0"/>
        <w:snapToGrid w:val="0"/>
        <w:spacing w:line="560" w:lineRule="exact"/>
        <w:ind w:firstLineChars="200" w:firstLine="640"/>
        <w:rPr>
          <w:rFonts w:ascii="仿宋_GB2312" w:eastAsia="仿宋_GB2312" w:hAnsi="仿宋_GB2312" w:cs="仿宋_GB2312"/>
          <w:sz w:val="32"/>
          <w:szCs w:val="32"/>
        </w:rPr>
      </w:pPr>
      <w:r w:rsidRPr="004A2C39">
        <w:rPr>
          <w:rFonts w:ascii="楷体_GB2312" w:eastAsia="楷体_GB2312" w:hAnsi="楷体_GB2312" w:cs="楷体_GB2312" w:hint="eastAsia"/>
          <w:sz w:val="32"/>
          <w:szCs w:val="32"/>
        </w:rPr>
        <w:t>（三）属地配合责任：</w:t>
      </w:r>
      <w:r w:rsidRPr="004A2C39">
        <w:rPr>
          <w:rFonts w:ascii="仿宋_GB2312" w:eastAsia="仿宋_GB2312" w:hAnsi="仿宋_GB2312" w:cs="仿宋_GB2312" w:hint="eastAsia"/>
          <w:sz w:val="32"/>
          <w:szCs w:val="32"/>
        </w:rPr>
        <w:t>各区县人民政府做好本行政区域内重大基础设施地震灾害风险监测评估的协调配合工作，促进</w:t>
      </w:r>
      <w:r w:rsidR="00871283" w:rsidRPr="004A2C39">
        <w:rPr>
          <w:rFonts w:ascii="仿宋_GB2312" w:eastAsia="仿宋_GB2312" w:hAnsi="仿宋_GB2312" w:cs="仿宋_GB2312" w:hint="eastAsia"/>
          <w:sz w:val="32"/>
          <w:szCs w:val="32"/>
        </w:rPr>
        <w:t>监测评估</w:t>
      </w:r>
      <w:r w:rsidR="00CD4948">
        <w:rPr>
          <w:rFonts w:ascii="仿宋_GB2312" w:eastAsia="仿宋_GB2312" w:hAnsi="仿宋_GB2312" w:cs="仿宋_GB2312" w:hint="eastAsia"/>
          <w:sz w:val="32"/>
          <w:szCs w:val="32"/>
        </w:rPr>
        <w:t>工作</w:t>
      </w:r>
      <w:r w:rsidRPr="004A2C39">
        <w:rPr>
          <w:rFonts w:ascii="仿宋_GB2312" w:eastAsia="仿宋_GB2312" w:hAnsi="仿宋_GB2312" w:cs="仿宋_GB2312" w:hint="eastAsia"/>
          <w:sz w:val="32"/>
          <w:szCs w:val="32"/>
        </w:rPr>
        <w:t>在本区域的顺利实施。</w:t>
      </w:r>
    </w:p>
    <w:p w:rsidR="0098517D" w:rsidRPr="004A2C39" w:rsidRDefault="00550BE6">
      <w:pPr>
        <w:adjustRightInd w:val="0"/>
        <w:snapToGrid w:val="0"/>
        <w:spacing w:line="560" w:lineRule="exact"/>
        <w:ind w:firstLineChars="200" w:firstLine="640"/>
        <w:rPr>
          <w:rFonts w:ascii="黑体" w:eastAsia="黑体" w:hAnsi="黑体" w:cs="黑体"/>
          <w:sz w:val="32"/>
          <w:szCs w:val="32"/>
        </w:rPr>
      </w:pPr>
      <w:r w:rsidRPr="004A2C39">
        <w:rPr>
          <w:rFonts w:ascii="黑体" w:eastAsia="黑体" w:hAnsi="黑体" w:cs="黑体" w:hint="eastAsia"/>
          <w:sz w:val="32"/>
          <w:szCs w:val="32"/>
        </w:rPr>
        <w:t>六、组织保障</w:t>
      </w:r>
    </w:p>
    <w:p w:rsidR="0098517D" w:rsidRPr="004A2C39" w:rsidRDefault="00550BE6">
      <w:pPr>
        <w:adjustRightInd w:val="0"/>
        <w:snapToGrid w:val="0"/>
        <w:spacing w:line="560" w:lineRule="exact"/>
        <w:ind w:firstLineChars="200" w:firstLine="640"/>
        <w:rPr>
          <w:rFonts w:ascii="仿宋_GB2312" w:eastAsia="仿宋_GB2312" w:hAnsi="仿宋_GB2312" w:cs="仿宋_GB2312"/>
          <w:sz w:val="32"/>
          <w:szCs w:val="32"/>
        </w:rPr>
      </w:pPr>
      <w:r w:rsidRPr="004A2C39">
        <w:rPr>
          <w:rFonts w:ascii="楷体_GB2312" w:eastAsia="楷体_GB2312" w:hAnsi="楷体_GB2312" w:cs="楷体_GB2312" w:hint="eastAsia"/>
          <w:sz w:val="32"/>
          <w:szCs w:val="32"/>
        </w:rPr>
        <w:t>（一）加强组织领导。</w:t>
      </w:r>
      <w:r w:rsidRPr="004A2C39">
        <w:rPr>
          <w:rFonts w:ascii="仿宋_GB2312" w:eastAsia="仿宋_GB2312" w:hAnsi="仿宋_GB2312" w:cs="仿宋_GB2312" w:hint="eastAsia"/>
          <w:sz w:val="32"/>
          <w:szCs w:val="32"/>
        </w:rPr>
        <w:t>建立政府主导、部门配合、行业参与的</w:t>
      </w:r>
      <w:r w:rsidR="00D75551">
        <w:rPr>
          <w:rFonts w:ascii="仿宋_GB2312" w:eastAsia="仿宋_GB2312" w:hAnsi="仿宋_GB2312" w:cs="仿宋_GB2312" w:hint="eastAsia"/>
          <w:sz w:val="32"/>
          <w:szCs w:val="32"/>
        </w:rPr>
        <w:t>监测</w:t>
      </w:r>
      <w:r w:rsidRPr="004A2C39">
        <w:rPr>
          <w:rFonts w:ascii="仿宋_GB2312" w:eastAsia="仿宋_GB2312" w:hAnsi="仿宋_GB2312" w:cs="仿宋_GB2312" w:hint="eastAsia"/>
          <w:sz w:val="32"/>
          <w:szCs w:val="32"/>
        </w:rPr>
        <w:t>评估机制，由市抗震救灾指挥部牵头指导开展重大基础设施地震灾害风险监测评估，统筹协调推进</w:t>
      </w:r>
      <w:r w:rsidR="00D75551">
        <w:rPr>
          <w:rFonts w:ascii="仿宋_GB2312" w:eastAsia="仿宋_GB2312" w:hAnsi="仿宋_GB2312" w:cs="仿宋_GB2312" w:hint="eastAsia"/>
          <w:sz w:val="32"/>
          <w:szCs w:val="32"/>
        </w:rPr>
        <w:t>监测</w:t>
      </w:r>
      <w:r w:rsidRPr="004A2C39">
        <w:rPr>
          <w:rFonts w:ascii="仿宋_GB2312" w:eastAsia="仿宋_GB2312" w:hAnsi="仿宋_GB2312" w:cs="仿宋_GB2312" w:hint="eastAsia"/>
          <w:sz w:val="32"/>
          <w:szCs w:val="32"/>
        </w:rPr>
        <w:t>评估工作，定期研究解决重大问题。各行业主管部门、各区县政府要充分认识重大基础设施地震灾害风险监测评估工作的重要性，加强组织领导，精心安排部署，确保各项工作任务落到实处。</w:t>
      </w:r>
    </w:p>
    <w:p w:rsidR="0098517D" w:rsidRPr="004A2C39" w:rsidRDefault="00550BE6">
      <w:pPr>
        <w:adjustRightInd w:val="0"/>
        <w:snapToGrid w:val="0"/>
        <w:spacing w:line="560" w:lineRule="exact"/>
        <w:ind w:firstLineChars="200" w:firstLine="640"/>
        <w:rPr>
          <w:rFonts w:ascii="仿宋_GB2312" w:eastAsia="仿宋_GB2312" w:hAnsi="楷体_GB2312" w:cs="楷体_GB2312"/>
          <w:sz w:val="32"/>
          <w:szCs w:val="32"/>
        </w:rPr>
      </w:pPr>
      <w:r w:rsidRPr="004A2C39">
        <w:rPr>
          <w:rFonts w:ascii="楷体_GB2312" w:eastAsia="楷体_GB2312" w:hAnsi="楷体_GB2312" w:cs="楷体_GB2312" w:hint="eastAsia"/>
          <w:sz w:val="32"/>
          <w:szCs w:val="32"/>
        </w:rPr>
        <w:t>（二）保障经费投入。</w:t>
      </w:r>
      <w:bookmarkStart w:id="10" w:name="OLE_LINK17"/>
      <w:bookmarkStart w:id="11" w:name="OLE_LINK18"/>
      <w:r w:rsidRPr="004A2C39">
        <w:rPr>
          <w:rFonts w:ascii="仿宋_GB2312" w:eastAsia="仿宋_GB2312" w:hAnsi="仿宋_GB2312" w:cs="仿宋_GB2312" w:hint="eastAsia"/>
          <w:sz w:val="32"/>
          <w:szCs w:val="32"/>
        </w:rPr>
        <w:t>将重大基础设施地震风险监测评估工作纳入市“十五五”防震减灾规划，明确目标任务、重点工程和保障措施，实现与省级规划的有效对接和同步推进。</w:t>
      </w:r>
      <w:r w:rsidRPr="004A2C39">
        <w:rPr>
          <w:rFonts w:ascii="仿宋_GB2312" w:eastAsia="仿宋_GB2312" w:hAnsi="楷体_GB2312" w:cs="楷体_GB2312" w:hint="eastAsia"/>
          <w:sz w:val="32"/>
          <w:szCs w:val="32"/>
        </w:rPr>
        <w:t>坚持</w:t>
      </w:r>
      <w:r w:rsidR="00B67398">
        <w:rPr>
          <w:rFonts w:ascii="仿宋_GB2312" w:eastAsia="仿宋_GB2312" w:hAnsi="楷体_GB2312" w:cs="楷体_GB2312" w:hint="eastAsia"/>
          <w:sz w:val="32"/>
          <w:szCs w:val="32"/>
        </w:rPr>
        <w:t>“</w:t>
      </w:r>
      <w:r w:rsidRPr="004A2C39">
        <w:rPr>
          <w:rFonts w:ascii="仿宋_GB2312" w:eastAsia="仿宋_GB2312" w:hAnsi="楷体_GB2312" w:cs="楷体_GB2312" w:hint="eastAsia"/>
          <w:sz w:val="32"/>
          <w:szCs w:val="32"/>
        </w:rPr>
        <w:t>一项</w:t>
      </w:r>
      <w:proofErr w:type="gramStart"/>
      <w:r w:rsidRPr="004A2C39">
        <w:rPr>
          <w:rFonts w:ascii="仿宋_GB2312" w:eastAsia="仿宋_GB2312" w:hAnsi="楷体_GB2312" w:cs="楷体_GB2312" w:hint="eastAsia"/>
          <w:sz w:val="32"/>
          <w:szCs w:val="32"/>
        </w:rPr>
        <w:t>一</w:t>
      </w:r>
      <w:proofErr w:type="gramEnd"/>
      <w:r w:rsidRPr="004A2C39">
        <w:rPr>
          <w:rFonts w:ascii="仿宋_GB2312" w:eastAsia="仿宋_GB2312" w:hAnsi="楷体_GB2312" w:cs="楷体_GB2312" w:hint="eastAsia"/>
          <w:sz w:val="32"/>
          <w:szCs w:val="32"/>
        </w:rPr>
        <w:t>策</w:t>
      </w:r>
      <w:r w:rsidR="00B67398">
        <w:rPr>
          <w:rFonts w:ascii="仿宋_GB2312" w:eastAsia="仿宋_GB2312" w:hAnsi="楷体_GB2312" w:cs="楷体_GB2312" w:hint="eastAsia"/>
          <w:sz w:val="32"/>
          <w:szCs w:val="32"/>
        </w:rPr>
        <w:t>”</w:t>
      </w:r>
      <w:r w:rsidRPr="004A2C39">
        <w:rPr>
          <w:rFonts w:ascii="仿宋_GB2312" w:eastAsia="仿宋_GB2312" w:hAnsi="楷体_GB2312" w:cs="楷体_GB2312" w:hint="eastAsia"/>
          <w:sz w:val="32"/>
          <w:szCs w:val="32"/>
        </w:rPr>
        <w:t>，制定切实可行的具体实施方案，</w:t>
      </w:r>
      <w:r w:rsidRPr="004A2C39">
        <w:rPr>
          <w:rFonts w:ascii="仿宋_GB2312" w:eastAsia="仿宋_GB2312" w:hAnsi="仿宋_GB2312" w:cs="仿宋_GB2312" w:hint="eastAsia"/>
          <w:sz w:val="32"/>
          <w:szCs w:val="32"/>
        </w:rPr>
        <w:t>采取产权单位自筹与财政投入相结合</w:t>
      </w:r>
      <w:r w:rsidR="00C00728" w:rsidRPr="004A2C39">
        <w:rPr>
          <w:rFonts w:ascii="仿宋_GB2312" w:eastAsia="仿宋_GB2312" w:hAnsi="仿宋_GB2312" w:cs="仿宋_GB2312" w:hint="eastAsia"/>
          <w:sz w:val="32"/>
          <w:szCs w:val="32"/>
        </w:rPr>
        <w:t>方式</w:t>
      </w:r>
      <w:r w:rsidRPr="004A2C39">
        <w:rPr>
          <w:rFonts w:ascii="仿宋_GB2312" w:eastAsia="仿宋_GB2312" w:hAnsi="仿宋_GB2312" w:cs="仿宋_GB2312" w:hint="eastAsia"/>
          <w:sz w:val="32"/>
          <w:szCs w:val="32"/>
        </w:rPr>
        <w:t>，并积极争取省“十五五”防震减灾规划专项资金支持。</w:t>
      </w:r>
    </w:p>
    <w:bookmarkEnd w:id="10"/>
    <w:bookmarkEnd w:id="11"/>
    <w:p w:rsidR="0098517D" w:rsidRPr="004A2C39" w:rsidRDefault="00550BE6">
      <w:pPr>
        <w:adjustRightInd w:val="0"/>
        <w:snapToGrid w:val="0"/>
        <w:spacing w:line="560" w:lineRule="exact"/>
        <w:ind w:firstLineChars="200" w:firstLine="640"/>
        <w:rPr>
          <w:rFonts w:ascii="仿宋_GB2312" w:eastAsia="仿宋_GB2312" w:hAnsi="仿宋_GB2312" w:cs="仿宋_GB2312"/>
          <w:sz w:val="32"/>
          <w:szCs w:val="32"/>
        </w:rPr>
      </w:pPr>
      <w:r w:rsidRPr="004A2C39">
        <w:rPr>
          <w:rFonts w:ascii="楷体_GB2312" w:eastAsia="楷体_GB2312" w:hAnsi="楷体_GB2312" w:cs="楷体_GB2312" w:hint="eastAsia"/>
          <w:sz w:val="32"/>
          <w:szCs w:val="32"/>
        </w:rPr>
        <w:lastRenderedPageBreak/>
        <w:t>（三）加强宣传引导。</w:t>
      </w:r>
      <w:r w:rsidRPr="004A2C39">
        <w:rPr>
          <w:rFonts w:ascii="仿宋_GB2312" w:eastAsia="仿宋_GB2312" w:hAnsi="仿宋_GB2312" w:cs="仿宋_GB2312" w:hint="eastAsia"/>
          <w:sz w:val="32"/>
          <w:szCs w:val="32"/>
        </w:rPr>
        <w:t>加强地震灾害风险防范宣传教育，针对济南重大基础设施类型的特点普及地震安全知识，提高全社会地震安全风险意识，引导各方重视、支持、参与重大基础设施地震灾害风险监测评估工作，形成共同防范化解地震灾害风险的浓厚氛围。</w:t>
      </w:r>
      <w:bookmarkEnd w:id="0"/>
      <w:bookmarkEnd w:id="1"/>
      <w:bookmarkEnd w:id="2"/>
      <w:bookmarkEnd w:id="3"/>
      <w:bookmarkEnd w:id="4"/>
      <w:bookmarkEnd w:id="5"/>
      <w:r w:rsidRPr="004A2C39">
        <w:rPr>
          <w:rFonts w:ascii="仿宋_GB2312" w:eastAsia="仿宋_GB2312" w:hAnsi="仿宋_GB2312" w:cs="仿宋_GB2312" w:hint="eastAsia"/>
          <w:sz w:val="32"/>
          <w:szCs w:val="32"/>
        </w:rPr>
        <w:t xml:space="preserve">                                     </w:t>
      </w:r>
    </w:p>
    <w:p w:rsidR="0098517D" w:rsidRPr="004A2C39" w:rsidRDefault="0098517D">
      <w:pPr>
        <w:rPr>
          <w:rFonts w:ascii="仿宋_GB2312" w:eastAsia="仿宋_GB2312" w:hAnsi="仿宋_GB2312" w:cs="仿宋_GB2312"/>
          <w:sz w:val="32"/>
          <w:szCs w:val="32"/>
        </w:rPr>
        <w:sectPr w:rsidR="0098517D" w:rsidRPr="004A2C39">
          <w:footerReference w:type="default" r:id="rId9"/>
          <w:pgSz w:w="11906" w:h="16838"/>
          <w:pgMar w:top="2154" w:right="1474" w:bottom="1984" w:left="1587" w:header="851" w:footer="992" w:gutter="0"/>
          <w:pgNumType w:fmt="numberInDash"/>
          <w:cols w:space="425"/>
          <w:docGrid w:type="lines" w:linePitch="312"/>
        </w:sectPr>
      </w:pPr>
    </w:p>
    <w:p w:rsidR="0098517D" w:rsidRDefault="00550BE6">
      <w:pPr>
        <w:pStyle w:val="a3"/>
        <w:spacing w:line="570" w:lineRule="exact"/>
        <w:ind w:firstLine="0"/>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1</w:t>
      </w:r>
    </w:p>
    <w:p w:rsidR="0098517D" w:rsidRDefault="00550BE6">
      <w:pPr>
        <w:jc w:val="center"/>
        <w:rPr>
          <w:rFonts w:eastAsia="方正小标宋简体" w:cs="Calibri"/>
          <w:sz w:val="44"/>
          <w:szCs w:val="44"/>
        </w:rPr>
      </w:pPr>
      <w:bookmarkStart w:id="12" w:name="_Hlk190769205"/>
      <w:r>
        <w:rPr>
          <w:rFonts w:eastAsia="方正小标宋简体" w:cs="Calibri" w:hint="eastAsia"/>
          <w:sz w:val="44"/>
          <w:szCs w:val="44"/>
        </w:rPr>
        <w:t>地震灾害风险隐患排查信息表</w:t>
      </w:r>
    </w:p>
    <w:bookmarkEnd w:id="12"/>
    <w:p w:rsidR="0098517D" w:rsidRDefault="0098517D">
      <w:pPr>
        <w:pStyle w:val="a3"/>
      </w:pPr>
    </w:p>
    <w:p w:rsidR="0098517D" w:rsidRDefault="00550BE6">
      <w:pPr>
        <w:jc w:val="left"/>
        <w:rPr>
          <w:rFonts w:ascii="仿宋_GB2312" w:eastAsia="仿宋_GB2312" w:hAnsi="仿宋_GB2312" w:cs="仿宋_GB2312"/>
          <w:sz w:val="32"/>
          <w:szCs w:val="32"/>
        </w:rPr>
      </w:pPr>
      <w:r>
        <w:rPr>
          <w:rFonts w:ascii="仿宋_GB2312" w:eastAsia="仿宋_GB2312" w:hAnsi="仿宋_GB2312" w:cs="仿宋_GB2312" w:hint="eastAsia"/>
          <w:color w:val="000000" w:themeColor="text1"/>
          <w:kern w:val="0"/>
          <w:sz w:val="32"/>
          <w:szCs w:val="32"/>
        </w:rPr>
        <w:t xml:space="preserve">填报单位（盖章）：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themeColor="text1"/>
          <w:kern w:val="0"/>
          <w:sz w:val="32"/>
          <w:szCs w:val="32"/>
        </w:rPr>
        <w:t xml:space="preserve">填报日期：    年    </w:t>
      </w:r>
      <w:r>
        <w:rPr>
          <w:rFonts w:ascii="仿宋_GB2312" w:eastAsia="仿宋_GB2312" w:hAnsi="仿宋_GB2312" w:cs="仿宋_GB2312" w:hint="eastAsia"/>
          <w:sz w:val="32"/>
          <w:szCs w:val="32"/>
        </w:rPr>
        <w:t>月   日</w:t>
      </w:r>
    </w:p>
    <w:tbl>
      <w:tblPr>
        <w:tblW w:w="5538" w:type="pct"/>
        <w:jc w:val="center"/>
        <w:tblLayout w:type="fixed"/>
        <w:tblLook w:val="04A0" w:firstRow="1" w:lastRow="0" w:firstColumn="1" w:lastColumn="0" w:noHBand="0" w:noVBand="1"/>
      </w:tblPr>
      <w:tblGrid>
        <w:gridCol w:w="518"/>
        <w:gridCol w:w="1300"/>
        <w:gridCol w:w="1624"/>
        <w:gridCol w:w="2574"/>
        <w:gridCol w:w="648"/>
        <w:gridCol w:w="545"/>
        <w:gridCol w:w="545"/>
        <w:gridCol w:w="1690"/>
        <w:gridCol w:w="844"/>
        <w:gridCol w:w="737"/>
        <w:gridCol w:w="744"/>
        <w:gridCol w:w="674"/>
        <w:gridCol w:w="638"/>
        <w:gridCol w:w="593"/>
        <w:gridCol w:w="503"/>
        <w:gridCol w:w="489"/>
        <w:gridCol w:w="783"/>
      </w:tblGrid>
      <w:tr w:rsidR="0098517D">
        <w:trPr>
          <w:trHeight w:val="447"/>
          <w:jc w:val="center"/>
        </w:trPr>
        <w:tc>
          <w:tcPr>
            <w:tcW w:w="51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序号</w:t>
            </w:r>
          </w:p>
        </w:tc>
        <w:tc>
          <w:tcPr>
            <w:tcW w:w="13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工程类型</w:t>
            </w:r>
          </w:p>
        </w:tc>
        <w:tc>
          <w:tcPr>
            <w:tcW w:w="162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重大基础</w:t>
            </w:r>
          </w:p>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设施名称</w:t>
            </w:r>
          </w:p>
        </w:tc>
        <w:tc>
          <w:tcPr>
            <w:tcW w:w="257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工程概况</w:t>
            </w:r>
          </w:p>
        </w:tc>
        <w:tc>
          <w:tcPr>
            <w:tcW w:w="64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投资</w:t>
            </w:r>
          </w:p>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规模</w:t>
            </w:r>
          </w:p>
          <w:p w:rsidR="0098517D" w:rsidRDefault="00550BE6">
            <w:pPr>
              <w:widowControl/>
              <w:snapToGrid w:val="0"/>
              <w:jc w:val="center"/>
              <w:rPr>
                <w:rFonts w:eastAsia="黑体" w:cs="宋体"/>
                <w:color w:val="000000" w:themeColor="text1"/>
                <w:kern w:val="0"/>
                <w:szCs w:val="21"/>
              </w:rPr>
            </w:pPr>
            <w:r>
              <w:rPr>
                <w:rFonts w:eastAsia="黑体" w:cs="宋体" w:hint="eastAsia"/>
                <w:snapToGrid w:val="0"/>
                <w:color w:val="000000" w:themeColor="text1"/>
                <w:spacing w:val="-17"/>
                <w:kern w:val="0"/>
                <w:szCs w:val="21"/>
              </w:rPr>
              <w:t>（亿元）</w:t>
            </w:r>
          </w:p>
        </w:tc>
        <w:tc>
          <w:tcPr>
            <w:tcW w:w="1090" w:type="dxa"/>
            <w:gridSpan w:val="2"/>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建设年代</w:t>
            </w:r>
          </w:p>
        </w:tc>
        <w:tc>
          <w:tcPr>
            <w:tcW w:w="169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所属单位</w:t>
            </w:r>
          </w:p>
        </w:tc>
        <w:tc>
          <w:tcPr>
            <w:tcW w:w="84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所属</w:t>
            </w:r>
          </w:p>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行政</w:t>
            </w:r>
          </w:p>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区域</w:t>
            </w:r>
          </w:p>
        </w:tc>
        <w:tc>
          <w:tcPr>
            <w:tcW w:w="1481" w:type="dxa"/>
            <w:gridSpan w:val="2"/>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点</w:t>
            </w:r>
            <w:proofErr w:type="gramStart"/>
            <w:r>
              <w:rPr>
                <w:rFonts w:eastAsia="黑体" w:cs="宋体" w:hint="eastAsia"/>
                <w:color w:val="000000" w:themeColor="text1"/>
                <w:kern w:val="0"/>
                <w:szCs w:val="21"/>
              </w:rPr>
              <w:t>状工</w:t>
            </w:r>
            <w:proofErr w:type="gramEnd"/>
            <w:r>
              <w:rPr>
                <w:rFonts w:eastAsia="黑体" w:cs="宋体" w:hint="eastAsia"/>
                <w:color w:val="000000" w:themeColor="text1"/>
                <w:kern w:val="0"/>
                <w:szCs w:val="21"/>
              </w:rPr>
              <w:t>程</w:t>
            </w:r>
          </w:p>
        </w:tc>
        <w:tc>
          <w:tcPr>
            <w:tcW w:w="674"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线状工程</w:t>
            </w:r>
          </w:p>
        </w:tc>
        <w:tc>
          <w:tcPr>
            <w:tcW w:w="173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抗震设防参数</w:t>
            </w:r>
          </w:p>
        </w:tc>
        <w:tc>
          <w:tcPr>
            <w:tcW w:w="489"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是否能够提供结构图纸</w:t>
            </w:r>
          </w:p>
        </w:tc>
        <w:tc>
          <w:tcPr>
            <w:tcW w:w="783"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备注</w:t>
            </w:r>
          </w:p>
        </w:tc>
      </w:tr>
      <w:tr w:rsidR="0098517D">
        <w:trPr>
          <w:trHeight w:val="20"/>
          <w:jc w:val="center"/>
        </w:trPr>
        <w:tc>
          <w:tcPr>
            <w:tcW w:w="518"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黑体" w:cs="宋体"/>
                <w:color w:val="000000" w:themeColor="text1"/>
                <w:kern w:val="0"/>
                <w:szCs w:val="21"/>
              </w:rPr>
            </w:pPr>
          </w:p>
        </w:tc>
        <w:tc>
          <w:tcPr>
            <w:tcW w:w="13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黑体" w:cs="宋体"/>
                <w:color w:val="000000" w:themeColor="text1"/>
                <w:kern w:val="0"/>
                <w:szCs w:val="21"/>
              </w:rPr>
            </w:pPr>
          </w:p>
        </w:tc>
        <w:tc>
          <w:tcPr>
            <w:tcW w:w="162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黑体" w:cs="宋体"/>
                <w:color w:val="000000" w:themeColor="text1"/>
                <w:kern w:val="0"/>
                <w:szCs w:val="21"/>
              </w:rPr>
            </w:pPr>
          </w:p>
        </w:tc>
        <w:tc>
          <w:tcPr>
            <w:tcW w:w="257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黑体" w:cs="宋体"/>
                <w:color w:val="000000" w:themeColor="text1"/>
                <w:kern w:val="0"/>
                <w:szCs w:val="21"/>
              </w:rPr>
            </w:pPr>
          </w:p>
        </w:tc>
        <w:tc>
          <w:tcPr>
            <w:tcW w:w="648"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黑体" w:cs="宋体"/>
                <w:color w:val="000000" w:themeColor="text1"/>
                <w:kern w:val="0"/>
                <w:szCs w:val="21"/>
              </w:rPr>
            </w:pPr>
          </w:p>
        </w:tc>
        <w:tc>
          <w:tcPr>
            <w:tcW w:w="545"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设计</w:t>
            </w:r>
          </w:p>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年份</w:t>
            </w:r>
          </w:p>
        </w:tc>
        <w:tc>
          <w:tcPr>
            <w:tcW w:w="545"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竣工年份</w:t>
            </w:r>
          </w:p>
        </w:tc>
        <w:tc>
          <w:tcPr>
            <w:tcW w:w="169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黑体" w:cs="宋体"/>
                <w:color w:val="000000" w:themeColor="text1"/>
                <w:kern w:val="0"/>
                <w:szCs w:val="21"/>
              </w:rPr>
            </w:pPr>
          </w:p>
        </w:tc>
        <w:tc>
          <w:tcPr>
            <w:tcW w:w="84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黑体" w:cs="宋体"/>
                <w:color w:val="000000" w:themeColor="text1"/>
                <w:kern w:val="0"/>
                <w:szCs w:val="21"/>
              </w:rPr>
            </w:pPr>
          </w:p>
        </w:tc>
        <w:tc>
          <w:tcPr>
            <w:tcW w:w="737"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经度</w:t>
            </w:r>
          </w:p>
        </w:tc>
        <w:tc>
          <w:tcPr>
            <w:tcW w:w="74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纬度</w:t>
            </w:r>
          </w:p>
        </w:tc>
        <w:tc>
          <w:tcPr>
            <w:tcW w:w="67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是否能提供线路图</w:t>
            </w:r>
          </w:p>
        </w:tc>
        <w:tc>
          <w:tcPr>
            <w:tcW w:w="6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超越</w:t>
            </w:r>
          </w:p>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概率</w:t>
            </w:r>
          </w:p>
        </w:tc>
        <w:tc>
          <w:tcPr>
            <w:tcW w:w="5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峰值</w:t>
            </w:r>
          </w:p>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加速度</w:t>
            </w:r>
          </w:p>
          <w:p w:rsidR="0098517D" w:rsidRDefault="00550BE6">
            <w:pPr>
              <w:widowControl/>
              <w:snapToGrid w:val="0"/>
              <w:jc w:val="center"/>
              <w:rPr>
                <w:rFonts w:eastAsia="黑体" w:cs="宋体"/>
                <w:color w:val="000000" w:themeColor="text1"/>
                <w:kern w:val="0"/>
                <w:szCs w:val="21"/>
              </w:rPr>
            </w:pPr>
            <w:r>
              <w:rPr>
                <w:rFonts w:eastAsia="黑体" w:cs="宋体" w:hint="eastAsia"/>
                <w:snapToGrid w:val="0"/>
                <w:color w:val="000000" w:themeColor="text1"/>
                <w:spacing w:val="-11"/>
                <w:kern w:val="0"/>
                <w:szCs w:val="21"/>
              </w:rPr>
              <w:t>（</w:t>
            </w:r>
            <w:r>
              <w:rPr>
                <w:rFonts w:eastAsia="黑体" w:cs="宋体" w:hint="eastAsia"/>
                <w:snapToGrid w:val="0"/>
                <w:color w:val="000000" w:themeColor="text1"/>
                <w:spacing w:val="-11"/>
                <w:kern w:val="0"/>
                <w:szCs w:val="21"/>
              </w:rPr>
              <w:t>gal</w:t>
            </w:r>
            <w:r>
              <w:rPr>
                <w:rFonts w:eastAsia="黑体" w:cs="宋体" w:hint="eastAsia"/>
                <w:snapToGrid w:val="0"/>
                <w:color w:val="000000" w:themeColor="text1"/>
                <w:spacing w:val="-11"/>
                <w:kern w:val="0"/>
                <w:szCs w:val="21"/>
              </w:rPr>
              <w:t>）</w:t>
            </w:r>
          </w:p>
        </w:tc>
        <w:tc>
          <w:tcPr>
            <w:tcW w:w="5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确定</w:t>
            </w:r>
          </w:p>
          <w:p w:rsidR="0098517D" w:rsidRDefault="00550BE6">
            <w:pPr>
              <w:widowControl/>
              <w:snapToGrid w:val="0"/>
              <w:jc w:val="center"/>
              <w:rPr>
                <w:rFonts w:eastAsia="黑体" w:cs="宋体"/>
                <w:color w:val="000000" w:themeColor="text1"/>
                <w:kern w:val="0"/>
                <w:szCs w:val="21"/>
              </w:rPr>
            </w:pPr>
            <w:r>
              <w:rPr>
                <w:rFonts w:eastAsia="黑体" w:cs="宋体" w:hint="eastAsia"/>
                <w:color w:val="000000" w:themeColor="text1"/>
                <w:kern w:val="0"/>
                <w:szCs w:val="21"/>
              </w:rPr>
              <w:t>依据</w:t>
            </w:r>
          </w:p>
        </w:tc>
        <w:tc>
          <w:tcPr>
            <w:tcW w:w="489"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黑体" w:cs="宋体"/>
                <w:color w:val="000000" w:themeColor="text1"/>
                <w:kern w:val="0"/>
                <w:szCs w:val="21"/>
              </w:rPr>
            </w:pPr>
          </w:p>
        </w:tc>
        <w:tc>
          <w:tcPr>
            <w:tcW w:w="783"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黑体" w:cs="宋体"/>
                <w:color w:val="000000" w:themeColor="text1"/>
                <w:kern w:val="0"/>
                <w:szCs w:val="21"/>
              </w:rPr>
            </w:pPr>
          </w:p>
        </w:tc>
      </w:tr>
      <w:tr w:rsidR="0098517D">
        <w:trPr>
          <w:trHeight w:val="657"/>
          <w:jc w:val="center"/>
        </w:trPr>
        <w:tc>
          <w:tcPr>
            <w:tcW w:w="518"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color w:val="000000" w:themeColor="text1"/>
                <w:kern w:val="0"/>
                <w:szCs w:val="21"/>
              </w:rPr>
              <w:t>1</w:t>
            </w:r>
          </w:p>
        </w:tc>
        <w:tc>
          <w:tcPr>
            <w:tcW w:w="1300"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rPr>
                <w:rFonts w:eastAsia="华文仿宋" w:cs="宋体"/>
                <w:color w:val="000000" w:themeColor="text1"/>
                <w:kern w:val="0"/>
                <w:szCs w:val="21"/>
              </w:rPr>
            </w:pPr>
            <w:bookmarkStart w:id="13" w:name="OLE_LINK15"/>
            <w:bookmarkStart w:id="14" w:name="OLE_LINK14"/>
            <w:r>
              <w:rPr>
                <w:rFonts w:eastAsia="华文仿宋" w:cs="宋体" w:hint="eastAsia"/>
                <w:color w:val="000000" w:themeColor="text1"/>
                <w:kern w:val="0"/>
                <w:szCs w:val="21"/>
              </w:rPr>
              <w:t>重大交通基础设施</w:t>
            </w:r>
            <w:bookmarkEnd w:id="13"/>
            <w:bookmarkEnd w:id="14"/>
          </w:p>
        </w:tc>
        <w:tc>
          <w:tcPr>
            <w:tcW w:w="162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rPr>
                <w:rFonts w:eastAsia="华文仿宋" w:cs="宋体"/>
                <w:color w:val="000000" w:themeColor="text1"/>
                <w:kern w:val="0"/>
                <w:szCs w:val="21"/>
              </w:rPr>
            </w:pPr>
          </w:p>
        </w:tc>
        <w:tc>
          <w:tcPr>
            <w:tcW w:w="257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rPr>
                <w:rFonts w:eastAsia="华文仿宋" w:cs="宋体"/>
                <w:color w:val="000000" w:themeColor="text1"/>
                <w:kern w:val="0"/>
                <w:szCs w:val="21"/>
              </w:rPr>
            </w:pPr>
            <w:r>
              <w:rPr>
                <w:rFonts w:eastAsia="华文仿宋" w:cs="宋体" w:hint="eastAsia"/>
                <w:color w:val="000000" w:themeColor="text1"/>
                <w:kern w:val="0"/>
                <w:szCs w:val="21"/>
              </w:rPr>
              <w:t>跨度（</w:t>
            </w:r>
            <w:r>
              <w:rPr>
                <w:rFonts w:eastAsia="华文仿宋" w:cs="宋体" w:hint="eastAsia"/>
                <w:color w:val="000000" w:themeColor="text1"/>
                <w:kern w:val="0"/>
                <w:szCs w:val="21"/>
              </w:rPr>
              <w:t>km</w:t>
            </w:r>
            <w:r>
              <w:rPr>
                <w:rFonts w:eastAsia="华文仿宋" w:cs="宋体" w:hint="eastAsia"/>
                <w:color w:val="000000" w:themeColor="text1"/>
                <w:kern w:val="0"/>
                <w:szCs w:val="21"/>
              </w:rPr>
              <w:t>）、墩高（</w:t>
            </w:r>
            <w:r>
              <w:rPr>
                <w:rFonts w:eastAsia="华文仿宋" w:cs="宋体" w:hint="eastAsia"/>
                <w:color w:val="000000" w:themeColor="text1"/>
                <w:kern w:val="0"/>
                <w:szCs w:val="21"/>
              </w:rPr>
              <w:t>m</w:t>
            </w:r>
            <w:r>
              <w:rPr>
                <w:rFonts w:eastAsia="华文仿宋" w:cs="宋体" w:hint="eastAsia"/>
                <w:color w:val="000000" w:themeColor="text1"/>
                <w:kern w:val="0"/>
                <w:szCs w:val="21"/>
              </w:rPr>
              <w:t>）、总长度（</w:t>
            </w:r>
            <w:r>
              <w:rPr>
                <w:rFonts w:eastAsia="华文仿宋" w:cs="宋体" w:hint="eastAsia"/>
                <w:color w:val="000000" w:themeColor="text1"/>
                <w:kern w:val="0"/>
                <w:szCs w:val="21"/>
              </w:rPr>
              <w:t>km</w:t>
            </w:r>
            <w:r>
              <w:rPr>
                <w:rFonts w:eastAsia="华文仿宋" w:cs="宋体" w:hint="eastAsia"/>
                <w:color w:val="000000" w:themeColor="text1"/>
                <w:kern w:val="0"/>
                <w:szCs w:val="21"/>
              </w:rPr>
              <w:t>）、结构类型等</w:t>
            </w:r>
          </w:p>
        </w:tc>
        <w:tc>
          <w:tcPr>
            <w:tcW w:w="648"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545"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545"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1690"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84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37"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4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67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638"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5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503" w:type="dxa"/>
            <w:tcBorders>
              <w:top w:val="nil"/>
              <w:left w:val="single" w:sz="4" w:space="0" w:color="auto"/>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489"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83"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r>
      <w:tr w:rsidR="0098517D">
        <w:trPr>
          <w:trHeight w:val="520"/>
          <w:jc w:val="center"/>
        </w:trPr>
        <w:tc>
          <w:tcPr>
            <w:tcW w:w="518"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color w:val="000000" w:themeColor="text1"/>
                <w:kern w:val="0"/>
                <w:szCs w:val="21"/>
              </w:rPr>
              <w:t>2</w:t>
            </w:r>
          </w:p>
        </w:tc>
        <w:tc>
          <w:tcPr>
            <w:tcW w:w="1300"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rPr>
                <w:rFonts w:eastAsia="华文仿宋" w:cs="宋体"/>
                <w:color w:val="000000" w:themeColor="text1"/>
                <w:kern w:val="0"/>
                <w:szCs w:val="21"/>
              </w:rPr>
            </w:pPr>
            <w:r>
              <w:rPr>
                <w:rFonts w:eastAsia="华文仿宋" w:cs="宋体" w:hint="eastAsia"/>
                <w:color w:val="000000" w:themeColor="text1"/>
                <w:kern w:val="0"/>
                <w:szCs w:val="21"/>
              </w:rPr>
              <w:t>大型水利设施</w:t>
            </w:r>
          </w:p>
        </w:tc>
        <w:tc>
          <w:tcPr>
            <w:tcW w:w="162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rPr>
                <w:rFonts w:eastAsia="华文仿宋" w:cs="宋体"/>
                <w:color w:val="000000" w:themeColor="text1"/>
                <w:kern w:val="0"/>
                <w:szCs w:val="21"/>
              </w:rPr>
            </w:pPr>
          </w:p>
        </w:tc>
        <w:tc>
          <w:tcPr>
            <w:tcW w:w="257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rPr>
                <w:rFonts w:eastAsia="华文仿宋" w:cs="宋体"/>
                <w:color w:val="000000" w:themeColor="text1"/>
                <w:kern w:val="0"/>
                <w:szCs w:val="21"/>
              </w:rPr>
            </w:pPr>
            <w:r>
              <w:rPr>
                <w:rFonts w:eastAsia="华文仿宋" w:cs="宋体" w:hint="eastAsia"/>
                <w:color w:val="000000" w:themeColor="text1"/>
                <w:kern w:val="0"/>
                <w:szCs w:val="21"/>
              </w:rPr>
              <w:t>坝高（</w:t>
            </w:r>
            <w:r>
              <w:rPr>
                <w:rFonts w:eastAsia="华文仿宋" w:cs="宋体"/>
                <w:color w:val="000000" w:themeColor="text1"/>
                <w:kern w:val="0"/>
                <w:szCs w:val="21"/>
              </w:rPr>
              <w:t>m</w:t>
            </w:r>
            <w:r>
              <w:rPr>
                <w:rFonts w:eastAsia="华文仿宋" w:cs="宋体" w:hint="eastAsia"/>
                <w:color w:val="000000" w:themeColor="text1"/>
                <w:kern w:val="0"/>
                <w:szCs w:val="21"/>
              </w:rPr>
              <w:t>）、库容（亿</w:t>
            </w:r>
            <w:r>
              <w:rPr>
                <w:rFonts w:eastAsia="华文仿宋" w:cs="宋体"/>
                <w:color w:val="000000" w:themeColor="text1"/>
                <w:kern w:val="0"/>
                <w:szCs w:val="21"/>
              </w:rPr>
              <w:t>m</w:t>
            </w:r>
            <w:r>
              <w:rPr>
                <w:rFonts w:eastAsia="华文仿宋" w:cs="宋体"/>
                <w:color w:val="000000" w:themeColor="text1"/>
                <w:kern w:val="0"/>
                <w:szCs w:val="21"/>
                <w:vertAlign w:val="superscript"/>
              </w:rPr>
              <w:t>3</w:t>
            </w:r>
            <w:r>
              <w:rPr>
                <w:rFonts w:eastAsia="华文仿宋" w:cs="宋体" w:hint="eastAsia"/>
                <w:color w:val="000000" w:themeColor="text1"/>
                <w:kern w:val="0"/>
                <w:szCs w:val="21"/>
              </w:rPr>
              <w:t>）、结构类型（重力坝、拱坝）等</w:t>
            </w:r>
          </w:p>
        </w:tc>
        <w:tc>
          <w:tcPr>
            <w:tcW w:w="648"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545"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545"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1690"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84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37"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4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67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638"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5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503" w:type="dxa"/>
            <w:tcBorders>
              <w:top w:val="nil"/>
              <w:left w:val="single" w:sz="4" w:space="0" w:color="auto"/>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489"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83"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r>
      <w:tr w:rsidR="0098517D">
        <w:trPr>
          <w:trHeight w:val="739"/>
          <w:jc w:val="center"/>
        </w:trPr>
        <w:tc>
          <w:tcPr>
            <w:tcW w:w="518"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color w:val="000000" w:themeColor="text1"/>
                <w:kern w:val="0"/>
                <w:szCs w:val="21"/>
              </w:rPr>
              <w:t>3</w:t>
            </w:r>
          </w:p>
        </w:tc>
        <w:tc>
          <w:tcPr>
            <w:tcW w:w="1300"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rPr>
                <w:rFonts w:eastAsia="华文仿宋" w:cs="宋体"/>
                <w:color w:val="000000" w:themeColor="text1"/>
                <w:kern w:val="0"/>
                <w:szCs w:val="21"/>
              </w:rPr>
            </w:pPr>
            <w:r>
              <w:rPr>
                <w:rFonts w:eastAsia="华文仿宋" w:cs="宋体" w:hint="eastAsia"/>
                <w:color w:val="000000" w:themeColor="text1"/>
                <w:kern w:val="0"/>
                <w:szCs w:val="21"/>
              </w:rPr>
              <w:t>重大能源基地</w:t>
            </w:r>
          </w:p>
        </w:tc>
        <w:tc>
          <w:tcPr>
            <w:tcW w:w="162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rPr>
                <w:rFonts w:eastAsia="华文仿宋" w:cs="宋体"/>
                <w:color w:val="000000" w:themeColor="text1"/>
                <w:kern w:val="0"/>
                <w:szCs w:val="21"/>
              </w:rPr>
            </w:pPr>
          </w:p>
        </w:tc>
        <w:tc>
          <w:tcPr>
            <w:tcW w:w="257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rPr>
                <w:rFonts w:eastAsia="华文仿宋" w:cs="宋体"/>
                <w:color w:val="000000" w:themeColor="text1"/>
                <w:kern w:val="0"/>
                <w:szCs w:val="21"/>
              </w:rPr>
            </w:pPr>
            <w:r>
              <w:rPr>
                <w:rFonts w:eastAsia="华文仿宋" w:cs="宋体" w:hint="eastAsia"/>
                <w:color w:val="000000" w:themeColor="text1"/>
                <w:kern w:val="0"/>
                <w:szCs w:val="21"/>
              </w:rPr>
              <w:t>装机容量（百万千瓦）、储量（亿</w:t>
            </w:r>
            <w:r>
              <w:rPr>
                <w:rFonts w:eastAsia="华文仿宋" w:cs="宋体"/>
                <w:color w:val="000000" w:themeColor="text1"/>
                <w:kern w:val="0"/>
                <w:szCs w:val="21"/>
              </w:rPr>
              <w:t>m</w:t>
            </w:r>
            <w:r>
              <w:rPr>
                <w:rFonts w:eastAsia="华文仿宋" w:cs="宋体"/>
                <w:color w:val="000000" w:themeColor="text1"/>
                <w:kern w:val="0"/>
                <w:szCs w:val="21"/>
                <w:vertAlign w:val="superscript"/>
              </w:rPr>
              <w:t>3</w:t>
            </w:r>
            <w:r>
              <w:rPr>
                <w:rFonts w:eastAsia="华文仿宋" w:cs="宋体" w:hint="eastAsia"/>
                <w:color w:val="000000" w:themeColor="text1"/>
                <w:kern w:val="0"/>
                <w:szCs w:val="21"/>
              </w:rPr>
              <w:t>）等</w:t>
            </w:r>
          </w:p>
        </w:tc>
        <w:tc>
          <w:tcPr>
            <w:tcW w:w="648"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545"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545"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1690"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84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37"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4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67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638"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5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503" w:type="dxa"/>
            <w:tcBorders>
              <w:top w:val="nil"/>
              <w:left w:val="single" w:sz="4" w:space="0" w:color="auto"/>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489"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83"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r>
      <w:tr w:rsidR="0098517D">
        <w:trPr>
          <w:trHeight w:val="730"/>
          <w:jc w:val="center"/>
        </w:trPr>
        <w:tc>
          <w:tcPr>
            <w:tcW w:w="518"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color w:val="000000" w:themeColor="text1"/>
                <w:kern w:val="0"/>
                <w:szCs w:val="21"/>
              </w:rPr>
              <w:t>4</w:t>
            </w:r>
          </w:p>
        </w:tc>
        <w:tc>
          <w:tcPr>
            <w:tcW w:w="1300"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rPr>
                <w:rFonts w:eastAsia="华文仿宋" w:cs="宋体"/>
                <w:color w:val="000000" w:themeColor="text1"/>
                <w:kern w:val="0"/>
                <w:szCs w:val="21"/>
              </w:rPr>
            </w:pPr>
            <w:r>
              <w:rPr>
                <w:rFonts w:eastAsia="华文仿宋" w:cs="宋体" w:hint="eastAsia"/>
                <w:color w:val="000000" w:themeColor="text1"/>
                <w:kern w:val="0"/>
                <w:szCs w:val="21"/>
              </w:rPr>
              <w:t>油气储运骨干管线</w:t>
            </w:r>
          </w:p>
        </w:tc>
        <w:tc>
          <w:tcPr>
            <w:tcW w:w="162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rPr>
                <w:rFonts w:eastAsia="华文仿宋" w:cs="宋体"/>
                <w:color w:val="000000" w:themeColor="text1"/>
                <w:kern w:val="0"/>
                <w:szCs w:val="21"/>
              </w:rPr>
            </w:pPr>
          </w:p>
        </w:tc>
        <w:tc>
          <w:tcPr>
            <w:tcW w:w="257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rPr>
                <w:rFonts w:eastAsia="华文仿宋" w:cs="宋体"/>
                <w:color w:val="000000" w:themeColor="text1"/>
                <w:kern w:val="0"/>
                <w:szCs w:val="21"/>
              </w:rPr>
            </w:pPr>
            <w:r>
              <w:rPr>
                <w:rFonts w:eastAsia="华文仿宋" w:cs="宋体" w:hint="eastAsia"/>
                <w:color w:val="000000" w:themeColor="text1"/>
                <w:kern w:val="0"/>
                <w:szCs w:val="21"/>
              </w:rPr>
              <w:t>总长度（</w:t>
            </w:r>
            <w:r>
              <w:rPr>
                <w:rFonts w:eastAsia="华文仿宋" w:cs="宋体" w:hint="eastAsia"/>
                <w:color w:val="000000" w:themeColor="text1"/>
                <w:kern w:val="0"/>
                <w:szCs w:val="21"/>
              </w:rPr>
              <w:t>km</w:t>
            </w:r>
            <w:r>
              <w:rPr>
                <w:rFonts w:eastAsia="华文仿宋" w:cs="宋体" w:hint="eastAsia"/>
                <w:color w:val="000000" w:themeColor="text1"/>
                <w:kern w:val="0"/>
                <w:szCs w:val="21"/>
              </w:rPr>
              <w:t>）、输送量（</w:t>
            </w:r>
            <w:r>
              <w:rPr>
                <w:rFonts w:eastAsia="华文仿宋" w:cs="宋体" w:hint="eastAsia"/>
                <w:color w:val="000000" w:themeColor="text1"/>
                <w:kern w:val="0"/>
                <w:szCs w:val="21"/>
              </w:rPr>
              <w:t>m</w:t>
            </w:r>
            <w:r>
              <w:rPr>
                <w:rFonts w:eastAsia="华文仿宋" w:cs="宋体" w:hint="eastAsia"/>
                <w:color w:val="000000" w:themeColor="text1"/>
                <w:kern w:val="0"/>
                <w:szCs w:val="21"/>
                <w:vertAlign w:val="superscript"/>
              </w:rPr>
              <w:t>3</w:t>
            </w:r>
            <w:r>
              <w:rPr>
                <w:rFonts w:eastAsia="华文仿宋" w:cs="宋体" w:hint="eastAsia"/>
                <w:color w:val="000000" w:themeColor="text1"/>
                <w:kern w:val="0"/>
                <w:szCs w:val="21"/>
              </w:rPr>
              <w:t>）、总储量（</w:t>
            </w:r>
            <w:r>
              <w:rPr>
                <w:rFonts w:eastAsia="华文仿宋" w:cs="宋体" w:hint="eastAsia"/>
                <w:color w:val="000000" w:themeColor="text1"/>
                <w:kern w:val="0"/>
                <w:szCs w:val="21"/>
              </w:rPr>
              <w:t>m</w:t>
            </w:r>
            <w:r>
              <w:rPr>
                <w:rFonts w:eastAsia="华文仿宋" w:cs="宋体" w:hint="eastAsia"/>
                <w:color w:val="000000" w:themeColor="text1"/>
                <w:kern w:val="0"/>
                <w:szCs w:val="21"/>
                <w:vertAlign w:val="superscript"/>
              </w:rPr>
              <w:t>3</w:t>
            </w:r>
            <w:r>
              <w:rPr>
                <w:rFonts w:eastAsia="华文仿宋" w:cs="宋体" w:hint="eastAsia"/>
                <w:color w:val="000000" w:themeColor="text1"/>
                <w:kern w:val="0"/>
                <w:szCs w:val="21"/>
              </w:rPr>
              <w:t>）等</w:t>
            </w:r>
          </w:p>
        </w:tc>
        <w:tc>
          <w:tcPr>
            <w:tcW w:w="648"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545"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545"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1690"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84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37"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4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67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638"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5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503" w:type="dxa"/>
            <w:tcBorders>
              <w:top w:val="nil"/>
              <w:left w:val="single" w:sz="4" w:space="0" w:color="auto"/>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489"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83"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r>
      <w:tr w:rsidR="0098517D">
        <w:trPr>
          <w:trHeight w:val="625"/>
          <w:jc w:val="center"/>
        </w:trPr>
        <w:tc>
          <w:tcPr>
            <w:tcW w:w="518"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color w:val="000000" w:themeColor="text1"/>
                <w:kern w:val="0"/>
                <w:szCs w:val="21"/>
              </w:rPr>
              <w:t>5</w:t>
            </w:r>
          </w:p>
        </w:tc>
        <w:tc>
          <w:tcPr>
            <w:tcW w:w="1300"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rPr>
                <w:rFonts w:eastAsia="华文仿宋" w:cs="宋体"/>
                <w:color w:val="000000" w:themeColor="text1"/>
                <w:kern w:val="0"/>
                <w:szCs w:val="21"/>
              </w:rPr>
            </w:pPr>
            <w:r>
              <w:rPr>
                <w:rFonts w:eastAsia="华文仿宋" w:cs="宋体" w:hint="eastAsia"/>
                <w:color w:val="000000" w:themeColor="text1"/>
                <w:kern w:val="0"/>
                <w:szCs w:val="21"/>
              </w:rPr>
              <w:t>国家电力系统枢纽工程</w:t>
            </w:r>
          </w:p>
        </w:tc>
        <w:tc>
          <w:tcPr>
            <w:tcW w:w="162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rPr>
                <w:rFonts w:eastAsia="华文仿宋" w:cs="宋体"/>
                <w:color w:val="000000" w:themeColor="text1"/>
                <w:kern w:val="0"/>
                <w:szCs w:val="21"/>
              </w:rPr>
            </w:pPr>
          </w:p>
        </w:tc>
        <w:tc>
          <w:tcPr>
            <w:tcW w:w="257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rPr>
                <w:rFonts w:eastAsia="华文仿宋" w:cs="宋体"/>
                <w:color w:val="000000" w:themeColor="text1"/>
                <w:kern w:val="0"/>
                <w:szCs w:val="21"/>
              </w:rPr>
            </w:pPr>
            <w:r>
              <w:rPr>
                <w:rFonts w:eastAsia="华文仿宋" w:cs="宋体" w:hint="eastAsia"/>
                <w:color w:val="000000" w:themeColor="text1"/>
                <w:kern w:val="0"/>
                <w:szCs w:val="21"/>
              </w:rPr>
              <w:t>建筑面积（</w:t>
            </w:r>
            <w:r>
              <w:rPr>
                <w:rFonts w:eastAsia="华文仿宋" w:cs="宋体" w:hint="eastAsia"/>
                <w:color w:val="000000" w:themeColor="text1"/>
                <w:kern w:val="0"/>
                <w:szCs w:val="21"/>
              </w:rPr>
              <w:t>m</w:t>
            </w:r>
            <w:r>
              <w:rPr>
                <w:rFonts w:eastAsia="华文仿宋" w:cs="宋体" w:hint="eastAsia"/>
                <w:color w:val="000000" w:themeColor="text1"/>
                <w:kern w:val="0"/>
                <w:szCs w:val="21"/>
                <w:vertAlign w:val="superscript"/>
              </w:rPr>
              <w:t>2</w:t>
            </w:r>
            <w:r>
              <w:rPr>
                <w:rFonts w:eastAsia="华文仿宋" w:cs="宋体" w:hint="eastAsia"/>
                <w:color w:val="000000" w:themeColor="text1"/>
                <w:kern w:val="0"/>
                <w:szCs w:val="21"/>
              </w:rPr>
              <w:t>）、结构类型、重要等级、电压等级等</w:t>
            </w:r>
          </w:p>
        </w:tc>
        <w:tc>
          <w:tcPr>
            <w:tcW w:w="648"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545"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545"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1690"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84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37"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4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67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638"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5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503" w:type="dxa"/>
            <w:tcBorders>
              <w:top w:val="nil"/>
              <w:left w:val="single" w:sz="4" w:space="0" w:color="auto"/>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489"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83"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r>
      <w:tr w:rsidR="0098517D">
        <w:trPr>
          <w:trHeight w:val="357"/>
          <w:jc w:val="center"/>
        </w:trPr>
        <w:tc>
          <w:tcPr>
            <w:tcW w:w="518"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color w:val="000000" w:themeColor="text1"/>
                <w:kern w:val="0"/>
                <w:szCs w:val="21"/>
              </w:rPr>
              <w:t>6</w:t>
            </w:r>
          </w:p>
        </w:tc>
        <w:tc>
          <w:tcPr>
            <w:tcW w:w="1300"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rPr>
                <w:rFonts w:eastAsia="华文仿宋" w:cs="宋体"/>
                <w:color w:val="000000" w:themeColor="text1"/>
                <w:kern w:val="0"/>
                <w:szCs w:val="21"/>
              </w:rPr>
            </w:pPr>
            <w:r>
              <w:rPr>
                <w:rFonts w:eastAsia="华文仿宋" w:cs="宋体" w:hint="eastAsia"/>
                <w:color w:val="000000" w:themeColor="text1"/>
                <w:kern w:val="0"/>
                <w:szCs w:val="21"/>
              </w:rPr>
              <w:t>国家信息枢纽节点</w:t>
            </w:r>
          </w:p>
        </w:tc>
        <w:tc>
          <w:tcPr>
            <w:tcW w:w="162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rPr>
                <w:rFonts w:eastAsia="华文仿宋" w:cs="宋体"/>
                <w:color w:val="000000" w:themeColor="text1"/>
                <w:kern w:val="0"/>
                <w:szCs w:val="21"/>
              </w:rPr>
            </w:pPr>
          </w:p>
        </w:tc>
        <w:tc>
          <w:tcPr>
            <w:tcW w:w="257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rPr>
                <w:rFonts w:eastAsia="华文仿宋" w:cs="宋体"/>
                <w:color w:val="000000" w:themeColor="text1"/>
                <w:kern w:val="0"/>
                <w:szCs w:val="21"/>
              </w:rPr>
            </w:pPr>
            <w:r>
              <w:rPr>
                <w:rFonts w:eastAsia="华文仿宋" w:cs="宋体" w:hint="eastAsia"/>
                <w:color w:val="000000" w:themeColor="text1"/>
                <w:kern w:val="0"/>
                <w:szCs w:val="21"/>
              </w:rPr>
              <w:t>建筑面积（</w:t>
            </w:r>
            <w:r>
              <w:rPr>
                <w:rFonts w:eastAsia="华文仿宋" w:cs="宋体" w:hint="eastAsia"/>
                <w:color w:val="000000" w:themeColor="text1"/>
                <w:kern w:val="0"/>
                <w:szCs w:val="21"/>
              </w:rPr>
              <w:t>m</w:t>
            </w:r>
            <w:r>
              <w:rPr>
                <w:rFonts w:eastAsia="华文仿宋" w:cs="宋体" w:hint="eastAsia"/>
                <w:color w:val="000000" w:themeColor="text1"/>
                <w:kern w:val="0"/>
                <w:szCs w:val="21"/>
                <w:vertAlign w:val="superscript"/>
              </w:rPr>
              <w:t>2</w:t>
            </w:r>
            <w:r>
              <w:rPr>
                <w:rFonts w:eastAsia="华文仿宋" w:cs="宋体" w:hint="eastAsia"/>
                <w:color w:val="000000" w:themeColor="text1"/>
                <w:kern w:val="0"/>
                <w:szCs w:val="21"/>
              </w:rPr>
              <w:t>）、结构类型等</w:t>
            </w:r>
          </w:p>
        </w:tc>
        <w:tc>
          <w:tcPr>
            <w:tcW w:w="648"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545"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545"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1690"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84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37"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4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67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638"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5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503" w:type="dxa"/>
            <w:tcBorders>
              <w:top w:val="nil"/>
              <w:left w:val="single" w:sz="4" w:space="0" w:color="auto"/>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489"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83"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r>
      <w:tr w:rsidR="0098517D">
        <w:trPr>
          <w:trHeight w:val="550"/>
          <w:jc w:val="center"/>
        </w:trPr>
        <w:tc>
          <w:tcPr>
            <w:tcW w:w="518"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color w:val="000000" w:themeColor="text1"/>
                <w:kern w:val="0"/>
                <w:szCs w:val="21"/>
              </w:rPr>
              <w:t>7</w:t>
            </w:r>
          </w:p>
        </w:tc>
        <w:tc>
          <w:tcPr>
            <w:tcW w:w="1300"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rPr>
                <w:rFonts w:eastAsia="华文仿宋" w:cs="宋体"/>
                <w:color w:val="000000" w:themeColor="text1"/>
                <w:kern w:val="0"/>
                <w:szCs w:val="21"/>
              </w:rPr>
            </w:pPr>
            <w:r>
              <w:rPr>
                <w:rFonts w:eastAsia="华文仿宋" w:cs="宋体"/>
                <w:color w:val="000000" w:themeColor="text1"/>
                <w:kern w:val="0"/>
                <w:szCs w:val="21"/>
              </w:rPr>
              <w:t>超高层建筑</w:t>
            </w:r>
          </w:p>
        </w:tc>
        <w:tc>
          <w:tcPr>
            <w:tcW w:w="162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rPr>
                <w:rFonts w:eastAsia="华文仿宋" w:cs="宋体"/>
                <w:color w:val="000000" w:themeColor="text1"/>
                <w:kern w:val="0"/>
                <w:szCs w:val="21"/>
              </w:rPr>
            </w:pPr>
          </w:p>
        </w:tc>
        <w:tc>
          <w:tcPr>
            <w:tcW w:w="257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rPr>
                <w:rFonts w:eastAsia="华文仿宋" w:cs="宋体"/>
                <w:color w:val="000000" w:themeColor="text1"/>
                <w:kern w:val="0"/>
                <w:szCs w:val="21"/>
              </w:rPr>
            </w:pPr>
            <w:r>
              <w:rPr>
                <w:rFonts w:eastAsia="华文仿宋" w:cs="宋体"/>
                <w:color w:val="000000" w:themeColor="text1"/>
                <w:kern w:val="0"/>
                <w:szCs w:val="21"/>
              </w:rPr>
              <w:t>高度（米）</w:t>
            </w:r>
          </w:p>
        </w:tc>
        <w:tc>
          <w:tcPr>
            <w:tcW w:w="648"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545"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545"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1690"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84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37"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4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67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638"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5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503" w:type="dxa"/>
            <w:tcBorders>
              <w:top w:val="nil"/>
              <w:left w:val="single" w:sz="4" w:space="0" w:color="auto"/>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489"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83"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r>
      <w:tr w:rsidR="0098517D">
        <w:trPr>
          <w:trHeight w:val="482"/>
          <w:jc w:val="center"/>
        </w:trPr>
        <w:tc>
          <w:tcPr>
            <w:tcW w:w="5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color w:val="000000" w:themeColor="text1"/>
                <w:kern w:val="0"/>
                <w:szCs w:val="21"/>
              </w:rPr>
              <w:lastRenderedPageBreak/>
              <w:t>8</w:t>
            </w:r>
          </w:p>
        </w:tc>
        <w:tc>
          <w:tcPr>
            <w:tcW w:w="130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rPr>
                <w:rFonts w:eastAsia="华文仿宋" w:cs="宋体"/>
                <w:color w:val="000000" w:themeColor="text1"/>
                <w:kern w:val="0"/>
                <w:szCs w:val="21"/>
              </w:rPr>
            </w:pPr>
            <w:r>
              <w:rPr>
                <w:rFonts w:eastAsia="华文仿宋" w:cs="宋体" w:hint="eastAsia"/>
                <w:color w:val="000000" w:themeColor="text1"/>
                <w:kern w:val="0"/>
                <w:szCs w:val="21"/>
              </w:rPr>
              <w:t>其他重大基础设施</w:t>
            </w:r>
          </w:p>
        </w:tc>
        <w:tc>
          <w:tcPr>
            <w:tcW w:w="1624"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rPr>
                <w:rFonts w:eastAsia="华文仿宋" w:cs="宋体"/>
                <w:color w:val="000000" w:themeColor="text1"/>
                <w:kern w:val="0"/>
                <w:szCs w:val="21"/>
              </w:rPr>
            </w:pPr>
          </w:p>
        </w:tc>
        <w:tc>
          <w:tcPr>
            <w:tcW w:w="2574"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rPr>
                <w:rFonts w:eastAsia="华文仿宋" w:cs="宋体"/>
                <w:color w:val="000000" w:themeColor="text1"/>
                <w:kern w:val="0"/>
                <w:szCs w:val="21"/>
              </w:rPr>
            </w:pPr>
          </w:p>
        </w:tc>
        <w:tc>
          <w:tcPr>
            <w:tcW w:w="648"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54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54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169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844"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37"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44"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674"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638"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5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5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517D" w:rsidRDefault="0098517D">
            <w:pPr>
              <w:widowControl/>
              <w:snapToGrid w:val="0"/>
              <w:jc w:val="center"/>
              <w:rPr>
                <w:rFonts w:eastAsia="华文仿宋" w:cs="宋体"/>
                <w:color w:val="000000" w:themeColor="text1"/>
                <w:kern w:val="0"/>
                <w:szCs w:val="21"/>
              </w:rPr>
            </w:pPr>
          </w:p>
        </w:tc>
        <w:tc>
          <w:tcPr>
            <w:tcW w:w="489"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c>
          <w:tcPr>
            <w:tcW w:w="78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r>
      <w:tr w:rsidR="0098517D">
        <w:trPr>
          <w:trHeight w:val="20"/>
          <w:jc w:val="center"/>
        </w:trPr>
        <w:tc>
          <w:tcPr>
            <w:tcW w:w="5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hint="eastAsia"/>
                <w:color w:val="000000" w:themeColor="text1"/>
                <w:kern w:val="0"/>
                <w:szCs w:val="21"/>
              </w:rPr>
              <w:t>样例</w:t>
            </w:r>
          </w:p>
        </w:tc>
        <w:tc>
          <w:tcPr>
            <w:tcW w:w="130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rPr>
                <w:rFonts w:eastAsia="华文仿宋" w:cs="宋体"/>
                <w:color w:val="000000" w:themeColor="text1"/>
                <w:kern w:val="0"/>
                <w:szCs w:val="21"/>
              </w:rPr>
            </w:pPr>
            <w:r>
              <w:rPr>
                <w:rFonts w:eastAsia="华文仿宋" w:cs="宋体" w:hint="eastAsia"/>
                <w:color w:val="000000" w:themeColor="text1"/>
                <w:kern w:val="0"/>
                <w:szCs w:val="21"/>
              </w:rPr>
              <w:t>重大交通基础设施</w:t>
            </w:r>
          </w:p>
        </w:tc>
        <w:tc>
          <w:tcPr>
            <w:tcW w:w="1624"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rPr>
                <w:rFonts w:eastAsia="华文仿宋" w:cs="宋体"/>
                <w:color w:val="000000" w:themeColor="text1"/>
                <w:kern w:val="0"/>
                <w:szCs w:val="21"/>
              </w:rPr>
            </w:pPr>
            <w:r>
              <w:rPr>
                <w:rFonts w:eastAsia="华文仿宋" w:cs="宋体" w:hint="eastAsia"/>
                <w:color w:val="000000" w:themeColor="text1"/>
                <w:kern w:val="0"/>
                <w:szCs w:val="21"/>
              </w:rPr>
              <w:t>黄河凤凰大桥</w:t>
            </w:r>
          </w:p>
        </w:tc>
        <w:tc>
          <w:tcPr>
            <w:tcW w:w="2574"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rPr>
                <w:rFonts w:eastAsia="华文仿宋" w:cs="宋体"/>
                <w:color w:val="000000" w:themeColor="text1"/>
                <w:kern w:val="0"/>
                <w:szCs w:val="21"/>
              </w:rPr>
            </w:pPr>
            <w:r>
              <w:rPr>
                <w:rFonts w:eastAsia="华文仿宋" w:cs="宋体" w:hint="eastAsia"/>
                <w:color w:val="000000" w:themeColor="text1"/>
                <w:kern w:val="0"/>
                <w:szCs w:val="21"/>
              </w:rPr>
              <w:t>济南黄河凤凰大桥全长</w:t>
            </w:r>
            <w:r>
              <w:rPr>
                <w:rFonts w:eastAsia="华文仿宋" w:cs="宋体" w:hint="eastAsia"/>
                <w:color w:val="000000" w:themeColor="text1"/>
                <w:kern w:val="0"/>
                <w:szCs w:val="21"/>
              </w:rPr>
              <w:t xml:space="preserve">6.683 </w:t>
            </w:r>
            <w:r>
              <w:rPr>
                <w:rFonts w:eastAsia="华文仿宋" w:cs="宋体" w:hint="eastAsia"/>
                <w:color w:val="000000" w:themeColor="text1"/>
                <w:kern w:val="0"/>
                <w:szCs w:val="21"/>
              </w:rPr>
              <w:t>公里。全线设特大桥</w:t>
            </w:r>
            <w:r>
              <w:rPr>
                <w:rFonts w:eastAsia="华文仿宋" w:cs="宋体" w:hint="eastAsia"/>
                <w:color w:val="000000" w:themeColor="text1"/>
                <w:kern w:val="0"/>
                <w:szCs w:val="21"/>
              </w:rPr>
              <w:t>2</w:t>
            </w:r>
            <w:r>
              <w:rPr>
                <w:rFonts w:eastAsia="华文仿宋" w:cs="宋体" w:hint="eastAsia"/>
                <w:color w:val="000000" w:themeColor="text1"/>
                <w:kern w:val="0"/>
                <w:szCs w:val="21"/>
              </w:rPr>
              <w:t>座，其中跨黄河特大桥</w:t>
            </w:r>
            <w:r>
              <w:rPr>
                <w:rFonts w:eastAsia="华文仿宋" w:cs="宋体" w:hint="eastAsia"/>
                <w:color w:val="000000" w:themeColor="text1"/>
                <w:kern w:val="0"/>
                <w:szCs w:val="21"/>
              </w:rPr>
              <w:t>3788</w:t>
            </w:r>
            <w:r>
              <w:rPr>
                <w:rFonts w:eastAsia="华文仿宋" w:cs="宋体" w:hint="eastAsia"/>
                <w:color w:val="000000" w:themeColor="text1"/>
                <w:kern w:val="0"/>
                <w:szCs w:val="21"/>
              </w:rPr>
              <w:t>米，跨</w:t>
            </w:r>
            <w:proofErr w:type="gramStart"/>
            <w:r>
              <w:rPr>
                <w:rFonts w:eastAsia="华文仿宋" w:cs="宋体" w:hint="eastAsia"/>
                <w:color w:val="000000" w:themeColor="text1"/>
                <w:kern w:val="0"/>
                <w:szCs w:val="21"/>
              </w:rPr>
              <w:t>邯胶铁路</w:t>
            </w:r>
            <w:proofErr w:type="gramEnd"/>
            <w:r>
              <w:rPr>
                <w:rFonts w:eastAsia="华文仿宋" w:cs="宋体" w:hint="eastAsia"/>
                <w:color w:val="000000" w:themeColor="text1"/>
                <w:kern w:val="0"/>
                <w:szCs w:val="21"/>
              </w:rPr>
              <w:t>联络线大桥</w:t>
            </w:r>
            <w:r>
              <w:rPr>
                <w:rFonts w:eastAsia="华文仿宋" w:cs="宋体" w:hint="eastAsia"/>
                <w:color w:val="000000" w:themeColor="text1"/>
                <w:kern w:val="0"/>
                <w:szCs w:val="21"/>
              </w:rPr>
              <w:t>1323</w:t>
            </w:r>
            <w:r>
              <w:rPr>
                <w:rFonts w:eastAsia="华文仿宋" w:cs="宋体" w:hint="eastAsia"/>
                <w:color w:val="000000" w:themeColor="text1"/>
                <w:kern w:val="0"/>
                <w:szCs w:val="21"/>
              </w:rPr>
              <w:t>米。采用双向八车道一级公路标准建设，兼顾城市主干路功能，道路路基宽度</w:t>
            </w:r>
            <w:r>
              <w:rPr>
                <w:rFonts w:eastAsia="华文仿宋" w:cs="宋体" w:hint="eastAsia"/>
                <w:color w:val="000000" w:themeColor="text1"/>
                <w:kern w:val="0"/>
                <w:szCs w:val="21"/>
              </w:rPr>
              <w:t>76.5~128.3</w:t>
            </w:r>
            <w:r>
              <w:rPr>
                <w:rFonts w:eastAsia="华文仿宋" w:cs="宋体" w:hint="eastAsia"/>
                <w:color w:val="000000" w:themeColor="text1"/>
                <w:kern w:val="0"/>
                <w:szCs w:val="21"/>
              </w:rPr>
              <w:t>米，跨</w:t>
            </w:r>
            <w:proofErr w:type="gramStart"/>
            <w:r>
              <w:rPr>
                <w:rFonts w:eastAsia="华文仿宋" w:cs="宋体" w:hint="eastAsia"/>
                <w:color w:val="000000" w:themeColor="text1"/>
                <w:kern w:val="0"/>
                <w:szCs w:val="21"/>
              </w:rPr>
              <w:t>邯胶铁路</w:t>
            </w:r>
            <w:proofErr w:type="gramEnd"/>
            <w:r>
              <w:rPr>
                <w:rFonts w:eastAsia="华文仿宋" w:cs="宋体" w:hint="eastAsia"/>
                <w:color w:val="000000" w:themeColor="text1"/>
                <w:kern w:val="0"/>
                <w:szCs w:val="21"/>
              </w:rPr>
              <w:t>联络线桥标准宽度</w:t>
            </w:r>
            <w:r>
              <w:rPr>
                <w:rFonts w:eastAsia="华文仿宋" w:cs="宋体" w:hint="eastAsia"/>
                <w:color w:val="000000" w:themeColor="text1"/>
                <w:kern w:val="0"/>
                <w:szCs w:val="21"/>
              </w:rPr>
              <w:t xml:space="preserve"> 44.5 </w:t>
            </w:r>
            <w:r>
              <w:rPr>
                <w:rFonts w:eastAsia="华文仿宋" w:cs="宋体" w:hint="eastAsia"/>
                <w:color w:val="000000" w:themeColor="text1"/>
                <w:kern w:val="0"/>
                <w:szCs w:val="21"/>
              </w:rPr>
              <w:t>米。跨黄河特大桥主桥为三塔组合梁自锚式悬索桥，其主跨跨度</w:t>
            </w:r>
            <w:r>
              <w:rPr>
                <w:rFonts w:eastAsia="华文仿宋" w:cs="宋体" w:hint="eastAsia"/>
                <w:color w:val="000000" w:themeColor="text1"/>
                <w:kern w:val="0"/>
                <w:szCs w:val="21"/>
              </w:rPr>
              <w:t>(428m)</w:t>
            </w:r>
            <w:r>
              <w:rPr>
                <w:rFonts w:eastAsia="华文仿宋" w:cs="宋体" w:hint="eastAsia"/>
                <w:color w:val="000000" w:themeColor="text1"/>
                <w:kern w:val="0"/>
                <w:szCs w:val="21"/>
              </w:rPr>
              <w:t>、宽度</w:t>
            </w:r>
            <w:r>
              <w:rPr>
                <w:rFonts w:eastAsia="华文仿宋" w:cs="宋体" w:hint="eastAsia"/>
                <w:color w:val="000000" w:themeColor="text1"/>
                <w:kern w:val="0"/>
                <w:szCs w:val="21"/>
              </w:rPr>
              <w:t>(61.7m)</w:t>
            </w:r>
            <w:r>
              <w:rPr>
                <w:rFonts w:eastAsia="华文仿宋" w:cs="宋体" w:hint="eastAsia"/>
                <w:color w:val="000000" w:themeColor="text1"/>
                <w:kern w:val="0"/>
                <w:szCs w:val="21"/>
              </w:rPr>
              <w:t>均居同类桥型世界之最。</w:t>
            </w:r>
          </w:p>
        </w:tc>
        <w:tc>
          <w:tcPr>
            <w:tcW w:w="648"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hint="eastAsia"/>
                <w:color w:val="000000" w:themeColor="text1"/>
                <w:kern w:val="0"/>
                <w:szCs w:val="21"/>
              </w:rPr>
              <w:t>63.27</w:t>
            </w:r>
            <w:r>
              <w:rPr>
                <w:rFonts w:eastAsia="华文仿宋" w:cs="宋体" w:hint="eastAsia"/>
                <w:color w:val="000000" w:themeColor="text1"/>
                <w:kern w:val="0"/>
                <w:szCs w:val="21"/>
              </w:rPr>
              <w:t>亿</w:t>
            </w:r>
          </w:p>
        </w:tc>
        <w:tc>
          <w:tcPr>
            <w:tcW w:w="545"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hint="eastAsia"/>
                <w:color w:val="000000" w:themeColor="text1"/>
                <w:kern w:val="0"/>
                <w:szCs w:val="21"/>
              </w:rPr>
              <w:t>2017</w:t>
            </w:r>
            <w:r>
              <w:rPr>
                <w:rFonts w:eastAsia="华文仿宋" w:cs="宋体" w:hint="eastAsia"/>
                <w:color w:val="000000" w:themeColor="text1"/>
                <w:kern w:val="0"/>
                <w:szCs w:val="21"/>
              </w:rPr>
              <w:t>年</w:t>
            </w:r>
            <w:r>
              <w:rPr>
                <w:rFonts w:eastAsia="华文仿宋" w:cs="宋体" w:hint="eastAsia"/>
                <w:color w:val="000000" w:themeColor="text1"/>
                <w:kern w:val="0"/>
                <w:szCs w:val="21"/>
              </w:rPr>
              <w:t>12</w:t>
            </w:r>
            <w:r>
              <w:rPr>
                <w:rFonts w:eastAsia="华文仿宋" w:cs="宋体" w:hint="eastAsia"/>
                <w:color w:val="000000" w:themeColor="text1"/>
                <w:kern w:val="0"/>
                <w:szCs w:val="21"/>
              </w:rPr>
              <w:t>月</w:t>
            </w:r>
          </w:p>
        </w:tc>
        <w:tc>
          <w:tcPr>
            <w:tcW w:w="545"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hint="eastAsia"/>
                <w:color w:val="000000" w:themeColor="text1"/>
                <w:kern w:val="0"/>
                <w:szCs w:val="21"/>
              </w:rPr>
              <w:t>2024</w:t>
            </w:r>
            <w:r>
              <w:rPr>
                <w:rFonts w:eastAsia="华文仿宋" w:cs="宋体" w:hint="eastAsia"/>
                <w:color w:val="000000" w:themeColor="text1"/>
                <w:kern w:val="0"/>
                <w:szCs w:val="21"/>
              </w:rPr>
              <w:t>年</w:t>
            </w:r>
            <w:r>
              <w:rPr>
                <w:rFonts w:eastAsia="华文仿宋" w:cs="宋体" w:hint="eastAsia"/>
                <w:color w:val="000000" w:themeColor="text1"/>
                <w:kern w:val="0"/>
                <w:szCs w:val="21"/>
              </w:rPr>
              <w:t>9</w:t>
            </w:r>
            <w:r>
              <w:rPr>
                <w:rFonts w:eastAsia="华文仿宋" w:cs="宋体" w:hint="eastAsia"/>
                <w:color w:val="000000" w:themeColor="text1"/>
                <w:kern w:val="0"/>
                <w:szCs w:val="21"/>
              </w:rPr>
              <w:t>月</w:t>
            </w:r>
          </w:p>
        </w:tc>
        <w:tc>
          <w:tcPr>
            <w:tcW w:w="1690"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hint="eastAsia"/>
                <w:color w:val="000000" w:themeColor="text1"/>
                <w:kern w:val="0"/>
                <w:szCs w:val="21"/>
              </w:rPr>
              <w:t>济南城市建设集团</w:t>
            </w:r>
          </w:p>
        </w:tc>
        <w:tc>
          <w:tcPr>
            <w:tcW w:w="84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hint="eastAsia"/>
                <w:color w:val="000000" w:themeColor="text1"/>
                <w:kern w:val="0"/>
                <w:szCs w:val="21"/>
              </w:rPr>
              <w:t>济南市历城区、高新区、起步区</w:t>
            </w:r>
          </w:p>
        </w:tc>
        <w:tc>
          <w:tcPr>
            <w:tcW w:w="737"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hint="eastAsia"/>
                <w:color w:val="000000" w:themeColor="text1"/>
                <w:kern w:val="0"/>
                <w:szCs w:val="21"/>
              </w:rPr>
              <w:t>/</w:t>
            </w:r>
          </w:p>
        </w:tc>
        <w:tc>
          <w:tcPr>
            <w:tcW w:w="74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hint="eastAsia"/>
                <w:color w:val="000000" w:themeColor="text1"/>
                <w:kern w:val="0"/>
                <w:szCs w:val="21"/>
              </w:rPr>
              <w:t>/</w:t>
            </w:r>
          </w:p>
        </w:tc>
        <w:tc>
          <w:tcPr>
            <w:tcW w:w="674"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hint="eastAsia"/>
                <w:color w:val="000000" w:themeColor="text1"/>
                <w:kern w:val="0"/>
                <w:szCs w:val="21"/>
              </w:rPr>
              <w:t>能</w:t>
            </w:r>
          </w:p>
        </w:tc>
        <w:tc>
          <w:tcPr>
            <w:tcW w:w="638"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hint="eastAsia"/>
                <w:color w:val="000000" w:themeColor="text1"/>
                <w:kern w:val="0"/>
                <w:szCs w:val="21"/>
              </w:rPr>
              <w:t>/</w:t>
            </w:r>
          </w:p>
        </w:tc>
        <w:tc>
          <w:tcPr>
            <w:tcW w:w="5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hint="eastAsia"/>
                <w:color w:val="000000" w:themeColor="text1"/>
                <w:kern w:val="0"/>
                <w:szCs w:val="21"/>
              </w:rPr>
              <w:t>抗震设防烈度</w:t>
            </w:r>
            <w:r>
              <w:rPr>
                <w:rFonts w:eastAsia="华文仿宋" w:cs="宋体" w:hint="eastAsia"/>
                <w:color w:val="000000" w:themeColor="text1"/>
                <w:kern w:val="0"/>
                <w:szCs w:val="21"/>
              </w:rPr>
              <w:t>7</w:t>
            </w:r>
            <w:r>
              <w:rPr>
                <w:rFonts w:eastAsia="华文仿宋" w:cs="宋体" w:hint="eastAsia"/>
                <w:color w:val="000000" w:themeColor="text1"/>
                <w:kern w:val="0"/>
                <w:szCs w:val="21"/>
              </w:rPr>
              <w:t>度（</w:t>
            </w:r>
            <w:r>
              <w:rPr>
                <w:rFonts w:eastAsia="华文仿宋" w:cs="宋体" w:hint="eastAsia"/>
                <w:color w:val="000000" w:themeColor="text1"/>
                <w:kern w:val="0"/>
                <w:szCs w:val="21"/>
              </w:rPr>
              <w:t>0.10g</w:t>
            </w:r>
            <w:r>
              <w:rPr>
                <w:rFonts w:eastAsia="华文仿宋" w:cs="宋体" w:hint="eastAsia"/>
                <w:color w:val="000000" w:themeColor="text1"/>
                <w:kern w:val="0"/>
                <w:szCs w:val="21"/>
              </w:rPr>
              <w:t>）</w:t>
            </w:r>
          </w:p>
        </w:tc>
        <w:tc>
          <w:tcPr>
            <w:tcW w:w="503"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hint="eastAsia"/>
                <w:color w:val="000000" w:themeColor="text1"/>
                <w:kern w:val="0"/>
                <w:szCs w:val="21"/>
              </w:rPr>
              <w:t>图纸</w:t>
            </w:r>
          </w:p>
        </w:tc>
        <w:tc>
          <w:tcPr>
            <w:tcW w:w="489" w:type="dxa"/>
            <w:tcBorders>
              <w:top w:val="nil"/>
              <w:left w:val="nil"/>
              <w:bottom w:val="single" w:sz="4" w:space="0" w:color="auto"/>
              <w:right w:val="single" w:sz="4" w:space="0" w:color="auto"/>
            </w:tcBorders>
            <w:tcMar>
              <w:top w:w="0" w:type="dxa"/>
              <w:left w:w="0" w:type="dxa"/>
              <w:bottom w:w="0" w:type="dxa"/>
              <w:right w:w="0" w:type="dxa"/>
            </w:tcMar>
            <w:vAlign w:val="center"/>
          </w:tcPr>
          <w:p w:rsidR="0098517D" w:rsidRDefault="00550BE6">
            <w:pPr>
              <w:widowControl/>
              <w:snapToGrid w:val="0"/>
              <w:jc w:val="center"/>
              <w:rPr>
                <w:rFonts w:eastAsia="华文仿宋" w:cs="宋体"/>
                <w:color w:val="000000" w:themeColor="text1"/>
                <w:kern w:val="0"/>
                <w:szCs w:val="21"/>
              </w:rPr>
            </w:pPr>
            <w:r>
              <w:rPr>
                <w:rFonts w:eastAsia="华文仿宋" w:cs="宋体" w:hint="eastAsia"/>
                <w:color w:val="000000" w:themeColor="text1"/>
                <w:kern w:val="0"/>
                <w:szCs w:val="21"/>
              </w:rPr>
              <w:t>是</w:t>
            </w:r>
          </w:p>
        </w:tc>
        <w:tc>
          <w:tcPr>
            <w:tcW w:w="78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8517D" w:rsidRDefault="0098517D">
            <w:pPr>
              <w:widowControl/>
              <w:snapToGrid w:val="0"/>
              <w:jc w:val="center"/>
              <w:rPr>
                <w:rFonts w:eastAsia="华文仿宋" w:cs="宋体"/>
                <w:color w:val="000000" w:themeColor="text1"/>
                <w:kern w:val="0"/>
                <w:szCs w:val="21"/>
              </w:rPr>
            </w:pPr>
          </w:p>
        </w:tc>
      </w:tr>
    </w:tbl>
    <w:p w:rsidR="0098517D" w:rsidRDefault="0098517D">
      <w:pPr>
        <w:pStyle w:val="a3"/>
        <w:spacing w:line="240" w:lineRule="exact"/>
        <w:ind w:firstLineChars="200" w:firstLine="640"/>
        <w:rPr>
          <w:rFonts w:ascii="仿宋_GB2312" w:eastAsia="仿宋_GB2312" w:hAnsi="仿宋_GB2312" w:cs="仿宋_GB2312"/>
          <w:sz w:val="32"/>
          <w:szCs w:val="32"/>
        </w:rPr>
      </w:pPr>
    </w:p>
    <w:p w:rsidR="0098517D" w:rsidRDefault="00550BE6">
      <w:pPr>
        <w:pStyle w:val="a3"/>
        <w:adjustRightInd w:val="0"/>
        <w:snapToGrid w:val="0"/>
        <w:spacing w:line="520" w:lineRule="exact"/>
        <w:ind w:firstLineChars="200"/>
        <w:rPr>
          <w:rFonts w:ascii="仿宋_GB2312" w:eastAsia="仿宋_GB2312" w:hAnsi="仿宋_GB2312" w:cs="仿宋_GB2312"/>
          <w:sz w:val="21"/>
          <w:szCs w:val="21"/>
        </w:rPr>
      </w:pPr>
      <w:r>
        <w:rPr>
          <w:rFonts w:ascii="仿宋_GB2312" w:eastAsia="仿宋_GB2312" w:hAnsi="仿宋_GB2312" w:cs="仿宋_GB2312" w:hint="eastAsia"/>
          <w:sz w:val="21"/>
          <w:szCs w:val="21"/>
        </w:rPr>
        <w:t>填报说明：</w:t>
      </w:r>
    </w:p>
    <w:p w:rsidR="0098517D" w:rsidRDefault="00550BE6">
      <w:pPr>
        <w:pStyle w:val="a3"/>
        <w:adjustRightInd w:val="0"/>
        <w:snapToGrid w:val="0"/>
        <w:spacing w:line="520" w:lineRule="exact"/>
        <w:ind w:firstLineChars="200"/>
        <w:rPr>
          <w:rFonts w:ascii="仿宋_GB2312" w:eastAsia="仿宋_GB2312" w:hAnsi="仿宋_GB2312" w:cs="仿宋_GB2312"/>
          <w:sz w:val="21"/>
          <w:szCs w:val="21"/>
        </w:rPr>
      </w:pPr>
      <w:r>
        <w:rPr>
          <w:rFonts w:ascii="仿宋_GB2312" w:eastAsia="仿宋_GB2312" w:hAnsi="仿宋_GB2312" w:cs="仿宋_GB2312" w:hint="eastAsia"/>
          <w:sz w:val="21"/>
          <w:szCs w:val="21"/>
        </w:rPr>
        <w:t>1.填报范围包括全市已建工程、在建工程、已立项未开工工程。</w:t>
      </w:r>
    </w:p>
    <w:p w:rsidR="0098517D" w:rsidRDefault="00550BE6">
      <w:pPr>
        <w:pStyle w:val="a3"/>
        <w:adjustRightInd w:val="0"/>
        <w:snapToGrid w:val="0"/>
        <w:spacing w:line="520" w:lineRule="exact"/>
        <w:ind w:firstLineChars="200"/>
        <w:rPr>
          <w:rFonts w:ascii="仿宋_GB2312" w:eastAsia="仿宋_GB2312" w:hAnsi="仿宋_GB2312" w:cs="仿宋_GB2312"/>
          <w:sz w:val="21"/>
          <w:szCs w:val="21"/>
        </w:rPr>
      </w:pPr>
      <w:r>
        <w:rPr>
          <w:rFonts w:ascii="仿宋_GB2312" w:eastAsia="仿宋_GB2312" w:hAnsi="仿宋_GB2312" w:cs="仿宋_GB2312" w:hint="eastAsia"/>
          <w:sz w:val="21"/>
          <w:szCs w:val="21"/>
        </w:rPr>
        <w:t>2.工程概况主要是指建设规模、结构类型、占地面积等相关信息。</w:t>
      </w:r>
    </w:p>
    <w:p w:rsidR="0098517D" w:rsidRDefault="00550BE6">
      <w:pPr>
        <w:pStyle w:val="a3"/>
        <w:adjustRightInd w:val="0"/>
        <w:snapToGrid w:val="0"/>
        <w:spacing w:line="520" w:lineRule="exact"/>
        <w:ind w:firstLineChars="200"/>
        <w:rPr>
          <w:rFonts w:ascii="仿宋_GB2312" w:eastAsia="仿宋_GB2312" w:hAnsi="仿宋_GB2312" w:cs="仿宋_GB2312"/>
          <w:sz w:val="21"/>
          <w:szCs w:val="21"/>
        </w:rPr>
      </w:pPr>
      <w:r>
        <w:rPr>
          <w:rFonts w:ascii="仿宋_GB2312" w:eastAsia="仿宋_GB2312" w:hAnsi="仿宋_GB2312" w:cs="仿宋_GB2312" w:hint="eastAsia"/>
          <w:sz w:val="21"/>
          <w:szCs w:val="21"/>
        </w:rPr>
        <w:t>3.建设年代包括设计年份和竣工年份。其中设计年份以设计图纸为准；已建重大基础设施填竣工年份，在建重大基础设施填预计竣工年份。</w:t>
      </w:r>
    </w:p>
    <w:p w:rsidR="0098517D" w:rsidRDefault="00550BE6">
      <w:pPr>
        <w:pStyle w:val="a3"/>
        <w:adjustRightInd w:val="0"/>
        <w:snapToGrid w:val="0"/>
        <w:spacing w:line="520" w:lineRule="exact"/>
        <w:ind w:firstLineChars="200"/>
        <w:rPr>
          <w:rFonts w:ascii="仿宋_GB2312" w:eastAsia="仿宋_GB2312" w:hAnsi="仿宋_GB2312" w:cs="仿宋_GB2312"/>
          <w:sz w:val="21"/>
          <w:szCs w:val="21"/>
        </w:rPr>
      </w:pPr>
      <w:r>
        <w:rPr>
          <w:rFonts w:ascii="仿宋_GB2312" w:eastAsia="仿宋_GB2312" w:hAnsi="仿宋_GB2312" w:cs="仿宋_GB2312" w:hint="eastAsia"/>
          <w:sz w:val="21"/>
          <w:szCs w:val="21"/>
        </w:rPr>
        <w:t>4.所属单位是指重大基础设施产权所有单位或运营单位。</w:t>
      </w:r>
    </w:p>
    <w:p w:rsidR="0098517D" w:rsidRDefault="00550BE6">
      <w:pPr>
        <w:pStyle w:val="a3"/>
        <w:adjustRightInd w:val="0"/>
        <w:snapToGrid w:val="0"/>
        <w:spacing w:line="520" w:lineRule="exact"/>
        <w:ind w:firstLineChars="200"/>
        <w:rPr>
          <w:rFonts w:ascii="仿宋_GB2312" w:eastAsia="仿宋_GB2312" w:hAnsi="仿宋_GB2312" w:cs="仿宋_GB2312"/>
          <w:sz w:val="21"/>
          <w:szCs w:val="21"/>
        </w:rPr>
      </w:pPr>
      <w:r>
        <w:rPr>
          <w:rFonts w:ascii="仿宋_GB2312" w:eastAsia="仿宋_GB2312" w:hAnsi="仿宋_GB2312" w:cs="仿宋_GB2312" w:hint="eastAsia"/>
          <w:sz w:val="21"/>
          <w:szCs w:val="21"/>
        </w:rPr>
        <w:t>5.所属行政区域对于点</w:t>
      </w:r>
      <w:proofErr w:type="gramStart"/>
      <w:r>
        <w:rPr>
          <w:rFonts w:ascii="仿宋_GB2312" w:eastAsia="仿宋_GB2312" w:hAnsi="仿宋_GB2312" w:cs="仿宋_GB2312" w:hint="eastAsia"/>
          <w:sz w:val="21"/>
          <w:szCs w:val="21"/>
        </w:rPr>
        <w:t>状工程需精确</w:t>
      </w:r>
      <w:proofErr w:type="gramEnd"/>
      <w:r>
        <w:rPr>
          <w:rFonts w:ascii="仿宋_GB2312" w:eastAsia="仿宋_GB2312" w:hAnsi="仿宋_GB2312" w:cs="仿宋_GB2312" w:hint="eastAsia"/>
          <w:sz w:val="21"/>
          <w:szCs w:val="21"/>
        </w:rPr>
        <w:t>到乡镇（街道），跨乡镇的需分别填写；对于线状工程需精确到县。</w:t>
      </w:r>
    </w:p>
    <w:p w:rsidR="0098517D" w:rsidRDefault="00550BE6">
      <w:pPr>
        <w:pStyle w:val="a3"/>
        <w:adjustRightInd w:val="0"/>
        <w:snapToGrid w:val="0"/>
        <w:spacing w:line="520" w:lineRule="exact"/>
        <w:ind w:firstLineChars="200"/>
        <w:rPr>
          <w:rFonts w:ascii="仿宋_GB2312" w:eastAsia="仿宋_GB2312" w:hAnsi="仿宋_GB2312" w:cs="仿宋_GB2312"/>
          <w:sz w:val="21"/>
          <w:szCs w:val="21"/>
        </w:rPr>
      </w:pPr>
      <w:r>
        <w:rPr>
          <w:rFonts w:ascii="仿宋_GB2312" w:eastAsia="仿宋_GB2312" w:hAnsi="仿宋_GB2312" w:cs="仿宋_GB2312" w:hint="eastAsia"/>
          <w:sz w:val="21"/>
          <w:szCs w:val="21"/>
        </w:rPr>
        <w:t>6.点</w:t>
      </w:r>
      <w:proofErr w:type="gramStart"/>
      <w:r>
        <w:rPr>
          <w:rFonts w:ascii="仿宋_GB2312" w:eastAsia="仿宋_GB2312" w:hAnsi="仿宋_GB2312" w:cs="仿宋_GB2312" w:hint="eastAsia"/>
          <w:sz w:val="21"/>
          <w:szCs w:val="21"/>
        </w:rPr>
        <w:t>状工</w:t>
      </w:r>
      <w:proofErr w:type="gramEnd"/>
      <w:r>
        <w:rPr>
          <w:rFonts w:ascii="仿宋_GB2312" w:eastAsia="仿宋_GB2312" w:hAnsi="仿宋_GB2312" w:cs="仿宋_GB2312" w:hint="eastAsia"/>
          <w:sz w:val="21"/>
          <w:szCs w:val="21"/>
        </w:rPr>
        <w:t>程经纬度坐标应保留到小数点后3位。</w:t>
      </w:r>
    </w:p>
    <w:p w:rsidR="0098517D" w:rsidRDefault="00550BE6">
      <w:pPr>
        <w:pStyle w:val="a3"/>
        <w:adjustRightInd w:val="0"/>
        <w:snapToGrid w:val="0"/>
        <w:spacing w:line="520" w:lineRule="exact"/>
        <w:ind w:firstLineChars="200"/>
        <w:rPr>
          <w:rFonts w:ascii="仿宋_GB2312" w:eastAsia="仿宋_GB2312" w:hAnsi="仿宋_GB2312" w:cs="仿宋_GB2312"/>
          <w:sz w:val="21"/>
          <w:szCs w:val="21"/>
        </w:rPr>
      </w:pPr>
      <w:r>
        <w:rPr>
          <w:rFonts w:ascii="仿宋_GB2312" w:eastAsia="仿宋_GB2312" w:hAnsi="仿宋_GB2312" w:cs="仿宋_GB2312" w:hint="eastAsia"/>
          <w:sz w:val="21"/>
          <w:szCs w:val="21"/>
        </w:rPr>
        <w:t>7.线状工程的线路图是指工程线路所经过的重要地理位置，一般精确到县。</w:t>
      </w:r>
    </w:p>
    <w:p w:rsidR="0098517D" w:rsidRDefault="00550BE6">
      <w:pPr>
        <w:pStyle w:val="a3"/>
        <w:adjustRightInd w:val="0"/>
        <w:snapToGrid w:val="0"/>
        <w:spacing w:line="520" w:lineRule="exact"/>
        <w:ind w:firstLineChars="200"/>
        <w:rPr>
          <w:sz w:val="21"/>
          <w:szCs w:val="21"/>
        </w:rPr>
      </w:pPr>
      <w:r>
        <w:rPr>
          <w:rFonts w:ascii="仿宋_GB2312" w:eastAsia="仿宋_GB2312" w:hAnsi="仿宋_GB2312" w:cs="仿宋_GB2312" w:hint="eastAsia"/>
          <w:sz w:val="21"/>
          <w:szCs w:val="21"/>
        </w:rPr>
        <w:t>8.抗震设防要求确定依据主要包含区划图、安评报告或其他有关规范。</w:t>
      </w:r>
    </w:p>
    <w:sectPr w:rsidR="0098517D">
      <w:footerReference w:type="even" r:id="rId10"/>
      <w:footerReference w:type="default" r:id="rId11"/>
      <w:pgSz w:w="16838" w:h="11906" w:orient="landscape"/>
      <w:pgMar w:top="567" w:right="1440" w:bottom="1797" w:left="1440"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492" w:rsidRDefault="00860492">
      <w:r>
        <w:separator/>
      </w:r>
    </w:p>
  </w:endnote>
  <w:endnote w:type="continuationSeparator" w:id="0">
    <w:p w:rsidR="00860492" w:rsidRDefault="0086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17D" w:rsidRDefault="00550BE6">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8517D" w:rsidRDefault="00550BE6">
                          <w:pPr>
                            <w:pStyle w:val="a6"/>
                          </w:pPr>
                          <w:r>
                            <w:rPr>
                              <w:sz w:val="28"/>
                              <w:szCs w:val="28"/>
                            </w:rPr>
                            <w:fldChar w:fldCharType="begin"/>
                          </w:r>
                          <w:r>
                            <w:rPr>
                              <w:sz w:val="28"/>
                              <w:szCs w:val="28"/>
                            </w:rPr>
                            <w:instrText xml:space="preserve"> PAGE  \* MERGEFORMAT </w:instrText>
                          </w:r>
                          <w:r>
                            <w:rPr>
                              <w:sz w:val="28"/>
                              <w:szCs w:val="28"/>
                            </w:rPr>
                            <w:fldChar w:fldCharType="separate"/>
                          </w:r>
                          <w:r w:rsidR="00DC2282">
                            <w:rPr>
                              <w:noProof/>
                              <w:sz w:val="28"/>
                              <w:szCs w:val="28"/>
                            </w:rPr>
                            <w:t>- 4 -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8517D" w:rsidRDefault="00550BE6">
                    <w:pPr>
                      <w:pStyle w:val="a5"/>
                    </w:pPr>
                    <w:r>
                      <w:rPr>
                        <w:sz w:val="28"/>
                        <w:szCs w:val="28"/>
                      </w:rPr>
                      <w:fldChar w:fldCharType="begin"/>
                    </w:r>
                    <w:r>
                      <w:rPr>
                        <w:sz w:val="28"/>
                        <w:szCs w:val="28"/>
                      </w:rPr>
                      <w:instrText xml:space="preserve"> PAGE  \* MERGEFORMAT </w:instrText>
                    </w:r>
                    <w:r>
                      <w:rPr>
                        <w:sz w:val="28"/>
                        <w:szCs w:val="28"/>
                      </w:rPr>
                      <w:fldChar w:fldCharType="separate"/>
                    </w:r>
                    <w:r w:rsidR="00DC2282">
                      <w:rPr>
                        <w:noProof/>
                        <w:sz w:val="28"/>
                        <w:szCs w:val="28"/>
                      </w:rPr>
                      <w:t>- 4 -</w:t>
                    </w:r>
                    <w:r>
                      <w:rPr>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17D" w:rsidRDefault="00550BE6">
    <w:pPr>
      <w:tabs>
        <w:tab w:val="center" w:pos="4153"/>
        <w:tab w:val="right" w:pos="8306"/>
      </w:tabs>
      <w:snapToGrid w:val="0"/>
      <w:ind w:leftChars="100" w:left="210" w:rightChars="100" w:right="210"/>
      <w:jc w:val="left"/>
    </w:pPr>
    <w:r>
      <w:rPr>
        <w:rFonts w:eastAsia="仿宋_GB2312" w:hint="eastAsia"/>
        <w:kern w:val="0"/>
        <w:sz w:val="28"/>
        <w:szCs w:val="18"/>
      </w:rPr>
      <w:t>—</w:t>
    </w:r>
    <w:r>
      <w:rPr>
        <w:rFonts w:eastAsia="仿宋_GB2312"/>
        <w:kern w:val="0"/>
        <w:sz w:val="28"/>
        <w:szCs w:val="18"/>
      </w:rPr>
      <w:t xml:space="preserve"> </w:t>
    </w:r>
    <w:r>
      <w:rPr>
        <w:rFonts w:eastAsia="仿宋_GB2312"/>
        <w:kern w:val="0"/>
        <w:sz w:val="28"/>
        <w:szCs w:val="18"/>
      </w:rPr>
      <w:fldChar w:fldCharType="begin"/>
    </w:r>
    <w:r>
      <w:rPr>
        <w:rFonts w:eastAsia="仿宋_GB2312"/>
        <w:kern w:val="0"/>
        <w:sz w:val="28"/>
        <w:szCs w:val="18"/>
      </w:rPr>
      <w:instrText xml:space="preserve"> PAGE </w:instrText>
    </w:r>
    <w:r>
      <w:rPr>
        <w:rFonts w:eastAsia="仿宋_GB2312"/>
        <w:kern w:val="0"/>
        <w:sz w:val="28"/>
        <w:szCs w:val="18"/>
      </w:rPr>
      <w:fldChar w:fldCharType="separate"/>
    </w:r>
    <w:r>
      <w:rPr>
        <w:rFonts w:eastAsia="仿宋_GB2312"/>
        <w:kern w:val="0"/>
        <w:sz w:val="28"/>
        <w:szCs w:val="18"/>
      </w:rPr>
      <w:t>10</w:t>
    </w:r>
    <w:r>
      <w:rPr>
        <w:rFonts w:eastAsia="仿宋_GB2312"/>
        <w:kern w:val="0"/>
        <w:sz w:val="28"/>
        <w:szCs w:val="18"/>
      </w:rPr>
      <w:fldChar w:fldCharType="end"/>
    </w:r>
    <w:r>
      <w:rPr>
        <w:rFonts w:eastAsia="仿宋_GB2312"/>
        <w:kern w:val="0"/>
        <w:sz w:val="28"/>
        <w:szCs w:val="18"/>
      </w:rPr>
      <w:t xml:space="preserve"> </w:t>
    </w:r>
    <w:r>
      <w:rPr>
        <w:rFonts w:eastAsia="仿宋_GB2312" w:hint="eastAsia"/>
        <w:kern w:val="0"/>
        <w:sz w:val="2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17D" w:rsidRDefault="00550BE6">
    <w:pPr>
      <w:tabs>
        <w:tab w:val="center" w:pos="4153"/>
        <w:tab w:val="right" w:pos="8306"/>
      </w:tabs>
      <w:snapToGrid w:val="0"/>
      <w:ind w:leftChars="100" w:left="210" w:rightChars="100" w:right="210"/>
      <w:jc w:val="right"/>
    </w:pPr>
    <w:r>
      <w:rPr>
        <w:rFonts w:eastAsia="仿宋_GB2312" w:hint="eastAsia"/>
        <w:kern w:val="0"/>
        <w:sz w:val="28"/>
        <w:szCs w:val="18"/>
      </w:rPr>
      <w:t>—</w:t>
    </w:r>
    <w:r>
      <w:rPr>
        <w:rFonts w:eastAsia="仿宋_GB2312"/>
        <w:kern w:val="0"/>
        <w:sz w:val="28"/>
        <w:szCs w:val="18"/>
      </w:rPr>
      <w:t xml:space="preserve"> </w:t>
    </w:r>
    <w:r>
      <w:rPr>
        <w:rFonts w:eastAsia="仿宋_GB2312"/>
        <w:kern w:val="0"/>
        <w:sz w:val="28"/>
        <w:szCs w:val="18"/>
      </w:rPr>
      <w:fldChar w:fldCharType="begin"/>
    </w:r>
    <w:r>
      <w:rPr>
        <w:rFonts w:eastAsia="仿宋_GB2312"/>
        <w:kern w:val="0"/>
        <w:sz w:val="28"/>
        <w:szCs w:val="18"/>
      </w:rPr>
      <w:instrText xml:space="preserve"> PAGE </w:instrText>
    </w:r>
    <w:r>
      <w:rPr>
        <w:rFonts w:eastAsia="仿宋_GB2312"/>
        <w:kern w:val="0"/>
        <w:sz w:val="28"/>
        <w:szCs w:val="18"/>
      </w:rPr>
      <w:fldChar w:fldCharType="separate"/>
    </w:r>
    <w:r w:rsidR="00DC2282">
      <w:rPr>
        <w:rFonts w:eastAsia="仿宋_GB2312"/>
        <w:noProof/>
        <w:kern w:val="0"/>
        <w:sz w:val="28"/>
        <w:szCs w:val="18"/>
      </w:rPr>
      <w:t>- 8 -</w:t>
    </w:r>
    <w:r>
      <w:rPr>
        <w:rFonts w:eastAsia="仿宋_GB2312"/>
        <w:kern w:val="0"/>
        <w:sz w:val="28"/>
        <w:szCs w:val="18"/>
      </w:rPr>
      <w:fldChar w:fldCharType="end"/>
    </w:r>
    <w:r>
      <w:rPr>
        <w:rFonts w:eastAsia="仿宋_GB2312"/>
        <w:kern w:val="0"/>
        <w:sz w:val="28"/>
        <w:szCs w:val="18"/>
      </w:rPr>
      <w:t xml:space="preserve"> </w:t>
    </w:r>
    <w:r>
      <w:rPr>
        <w:rFonts w:eastAsia="仿宋_GB2312" w:hint="eastAsia"/>
        <w:kern w:val="0"/>
        <w:sz w:val="28"/>
        <w:szCs w:val="18"/>
      </w:rPr>
      <w:t>—</w:t>
    </w:r>
  </w:p>
  <w:p w:rsidR="0098517D" w:rsidRDefault="009851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492" w:rsidRDefault="00860492">
      <w:r>
        <w:separator/>
      </w:r>
    </w:p>
  </w:footnote>
  <w:footnote w:type="continuationSeparator" w:id="0">
    <w:p w:rsidR="00860492" w:rsidRDefault="00860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FE9BF4"/>
    <w:multiLevelType w:val="singleLevel"/>
    <w:tmpl w:val="9AFE9BF4"/>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A0ZTFmZjM0NzlhMDVlMWQyMGQ1NTJlNDc0ODk2MDEifQ=="/>
  </w:docVars>
  <w:rsids>
    <w:rsidRoot w:val="3E8C12AA"/>
    <w:rsid w:val="3E8C12AA"/>
    <w:rsid w:val="8D7E50F5"/>
    <w:rsid w:val="8FFDBEFA"/>
    <w:rsid w:val="96FF8295"/>
    <w:rsid w:val="97BF486C"/>
    <w:rsid w:val="97E5F930"/>
    <w:rsid w:val="99B29013"/>
    <w:rsid w:val="9F1E3267"/>
    <w:rsid w:val="9F4F2D32"/>
    <w:rsid w:val="9F8B7A76"/>
    <w:rsid w:val="9F9E54C9"/>
    <w:rsid w:val="9FE75118"/>
    <w:rsid w:val="A5EACB1C"/>
    <w:rsid w:val="A7CF5D2D"/>
    <w:rsid w:val="A85FBD8E"/>
    <w:rsid w:val="AAB76314"/>
    <w:rsid w:val="AADD8C2F"/>
    <w:rsid w:val="AB574322"/>
    <w:rsid w:val="ABFDF949"/>
    <w:rsid w:val="ACFBC660"/>
    <w:rsid w:val="AF7ED422"/>
    <w:rsid w:val="AFB9CD44"/>
    <w:rsid w:val="AFBF2472"/>
    <w:rsid w:val="AFE7D611"/>
    <w:rsid w:val="B29FC420"/>
    <w:rsid w:val="B33FBA06"/>
    <w:rsid w:val="B37E191C"/>
    <w:rsid w:val="B38131CB"/>
    <w:rsid w:val="B55FFC5B"/>
    <w:rsid w:val="B5FAE2E3"/>
    <w:rsid w:val="B6DD65EB"/>
    <w:rsid w:val="B6DD9248"/>
    <w:rsid w:val="B6F5C17F"/>
    <w:rsid w:val="B77515EB"/>
    <w:rsid w:val="B7A2F3AE"/>
    <w:rsid w:val="B7BF6277"/>
    <w:rsid w:val="B7F86298"/>
    <w:rsid w:val="B7FFCD79"/>
    <w:rsid w:val="B8F96BE9"/>
    <w:rsid w:val="B93A73F1"/>
    <w:rsid w:val="B93F5B5E"/>
    <w:rsid w:val="BA7B23C6"/>
    <w:rsid w:val="BB60EF32"/>
    <w:rsid w:val="BBA4E920"/>
    <w:rsid w:val="BBAFF0FE"/>
    <w:rsid w:val="BCDD1732"/>
    <w:rsid w:val="BCEA3B08"/>
    <w:rsid w:val="BD3B514A"/>
    <w:rsid w:val="BD7F1614"/>
    <w:rsid w:val="BDCB3685"/>
    <w:rsid w:val="BDFE72CD"/>
    <w:rsid w:val="BE7F0CA4"/>
    <w:rsid w:val="BEFE36B3"/>
    <w:rsid w:val="BF7F1D66"/>
    <w:rsid w:val="BF9DB7B4"/>
    <w:rsid w:val="BFBD1A18"/>
    <w:rsid w:val="BFCF7946"/>
    <w:rsid w:val="BFED01CB"/>
    <w:rsid w:val="BFEF7F7F"/>
    <w:rsid w:val="BFFED713"/>
    <w:rsid w:val="C5BFAEF2"/>
    <w:rsid w:val="CEFBECC8"/>
    <w:rsid w:val="CF5FE053"/>
    <w:rsid w:val="CFE87DE0"/>
    <w:rsid w:val="D4DE0318"/>
    <w:rsid w:val="D6FFB0AE"/>
    <w:rsid w:val="D7DDC48B"/>
    <w:rsid w:val="D7F7699D"/>
    <w:rsid w:val="D7F78272"/>
    <w:rsid w:val="D7FF83BD"/>
    <w:rsid w:val="D9FFE245"/>
    <w:rsid w:val="DAFF0FCE"/>
    <w:rsid w:val="DB35349C"/>
    <w:rsid w:val="DB9F2CD5"/>
    <w:rsid w:val="DBDF36A6"/>
    <w:rsid w:val="DBE6D957"/>
    <w:rsid w:val="DBEE7B5B"/>
    <w:rsid w:val="DBFF6290"/>
    <w:rsid w:val="DCBF24FD"/>
    <w:rsid w:val="DCEFAAA0"/>
    <w:rsid w:val="DCFF3CD7"/>
    <w:rsid w:val="DD277986"/>
    <w:rsid w:val="DD73506A"/>
    <w:rsid w:val="DD9D292D"/>
    <w:rsid w:val="DDEB530D"/>
    <w:rsid w:val="DDEE8BCA"/>
    <w:rsid w:val="DDFCAF13"/>
    <w:rsid w:val="DEEA3557"/>
    <w:rsid w:val="DEEF4028"/>
    <w:rsid w:val="DEFBF43E"/>
    <w:rsid w:val="DEFF3DB9"/>
    <w:rsid w:val="DFAF1C40"/>
    <w:rsid w:val="E0F9D3B4"/>
    <w:rsid w:val="E35BBEAB"/>
    <w:rsid w:val="E3CF6B5F"/>
    <w:rsid w:val="E5FEFA33"/>
    <w:rsid w:val="E7FF5C22"/>
    <w:rsid w:val="E7FFE194"/>
    <w:rsid w:val="E9764AEE"/>
    <w:rsid w:val="EACBA089"/>
    <w:rsid w:val="EAEC8325"/>
    <w:rsid w:val="EB5FEEAE"/>
    <w:rsid w:val="EB7BE403"/>
    <w:rsid w:val="EBDB3D84"/>
    <w:rsid w:val="EBEFE4DA"/>
    <w:rsid w:val="EC974D9B"/>
    <w:rsid w:val="ECCB2D76"/>
    <w:rsid w:val="ED5F6ED3"/>
    <w:rsid w:val="ED6D11AB"/>
    <w:rsid w:val="ED92E1BC"/>
    <w:rsid w:val="EDAD762D"/>
    <w:rsid w:val="EDEE817B"/>
    <w:rsid w:val="EDEFE220"/>
    <w:rsid w:val="EE33C2DC"/>
    <w:rsid w:val="EE3919F3"/>
    <w:rsid w:val="EE3FB6AD"/>
    <w:rsid w:val="EE7F4020"/>
    <w:rsid w:val="EEBFE16A"/>
    <w:rsid w:val="EEDB3A19"/>
    <w:rsid w:val="EEDF8B71"/>
    <w:rsid w:val="EEF7AAB7"/>
    <w:rsid w:val="EF3F033A"/>
    <w:rsid w:val="EF7A4188"/>
    <w:rsid w:val="EF7B7454"/>
    <w:rsid w:val="EF7DD575"/>
    <w:rsid w:val="EFB7284D"/>
    <w:rsid w:val="EFBF9561"/>
    <w:rsid w:val="EFE32EC1"/>
    <w:rsid w:val="EFED93C2"/>
    <w:rsid w:val="EFF5F43B"/>
    <w:rsid w:val="EFF7210F"/>
    <w:rsid w:val="EFFA7888"/>
    <w:rsid w:val="EFFD5D47"/>
    <w:rsid w:val="EFFD8D95"/>
    <w:rsid w:val="F09E4DB2"/>
    <w:rsid w:val="F2C7F09F"/>
    <w:rsid w:val="F335E6AF"/>
    <w:rsid w:val="F36780C1"/>
    <w:rsid w:val="F37FB077"/>
    <w:rsid w:val="F3F48EFD"/>
    <w:rsid w:val="F4EFCCFD"/>
    <w:rsid w:val="F539EEF5"/>
    <w:rsid w:val="F57E024C"/>
    <w:rsid w:val="F5C5C47B"/>
    <w:rsid w:val="F6EBC040"/>
    <w:rsid w:val="F6F3DB90"/>
    <w:rsid w:val="F6F502C9"/>
    <w:rsid w:val="F6FF6F30"/>
    <w:rsid w:val="F7712C97"/>
    <w:rsid w:val="F7960495"/>
    <w:rsid w:val="F7BF063D"/>
    <w:rsid w:val="F7F6E507"/>
    <w:rsid w:val="F7FB2D81"/>
    <w:rsid w:val="F7FF029D"/>
    <w:rsid w:val="F7FF3F06"/>
    <w:rsid w:val="F87B860C"/>
    <w:rsid w:val="F93D289C"/>
    <w:rsid w:val="F9F104B5"/>
    <w:rsid w:val="F9FFC46F"/>
    <w:rsid w:val="FA9F5D21"/>
    <w:rsid w:val="FABD35B9"/>
    <w:rsid w:val="FADDA3A1"/>
    <w:rsid w:val="FB3F2445"/>
    <w:rsid w:val="FB719606"/>
    <w:rsid w:val="FB7715AF"/>
    <w:rsid w:val="FB7EB842"/>
    <w:rsid w:val="FB9BC91C"/>
    <w:rsid w:val="FBBBBAE0"/>
    <w:rsid w:val="FBBF2666"/>
    <w:rsid w:val="FBD53B63"/>
    <w:rsid w:val="FBDE917B"/>
    <w:rsid w:val="FBDF2D19"/>
    <w:rsid w:val="FBFF72DA"/>
    <w:rsid w:val="FC6FCFBD"/>
    <w:rsid w:val="FCBD8003"/>
    <w:rsid w:val="FCBE1FDF"/>
    <w:rsid w:val="FCF63087"/>
    <w:rsid w:val="FCF710D2"/>
    <w:rsid w:val="FCFF5F35"/>
    <w:rsid w:val="FCFF8764"/>
    <w:rsid w:val="FD730D80"/>
    <w:rsid w:val="FD77BA79"/>
    <w:rsid w:val="FD7F6554"/>
    <w:rsid w:val="FDDDBE33"/>
    <w:rsid w:val="FDDF614F"/>
    <w:rsid w:val="FDE95E26"/>
    <w:rsid w:val="FDEE97AE"/>
    <w:rsid w:val="FDF58541"/>
    <w:rsid w:val="FDF7C579"/>
    <w:rsid w:val="FDFA9249"/>
    <w:rsid w:val="FDFE462B"/>
    <w:rsid w:val="FDFF57CB"/>
    <w:rsid w:val="FE6BD494"/>
    <w:rsid w:val="FE734873"/>
    <w:rsid w:val="FE7BCE2A"/>
    <w:rsid w:val="FECF838A"/>
    <w:rsid w:val="FEDABCED"/>
    <w:rsid w:val="FEF31053"/>
    <w:rsid w:val="FEFF80DB"/>
    <w:rsid w:val="FF4E4F58"/>
    <w:rsid w:val="FF530D68"/>
    <w:rsid w:val="FF67BB18"/>
    <w:rsid w:val="FF716795"/>
    <w:rsid w:val="FF73CCBB"/>
    <w:rsid w:val="FF756843"/>
    <w:rsid w:val="FF7A5190"/>
    <w:rsid w:val="FF7AC26B"/>
    <w:rsid w:val="FF7EC60A"/>
    <w:rsid w:val="FF7FB882"/>
    <w:rsid w:val="FF8F10DB"/>
    <w:rsid w:val="FF9F0CFB"/>
    <w:rsid w:val="FFB2C9ED"/>
    <w:rsid w:val="FFBF3E45"/>
    <w:rsid w:val="FFBF7836"/>
    <w:rsid w:val="FFBFD3D3"/>
    <w:rsid w:val="FFCE7DB0"/>
    <w:rsid w:val="FFDF9DFD"/>
    <w:rsid w:val="FFDFE9A9"/>
    <w:rsid w:val="FFEF34B4"/>
    <w:rsid w:val="FFF11404"/>
    <w:rsid w:val="FFF31505"/>
    <w:rsid w:val="FFF722F3"/>
    <w:rsid w:val="FFF74FA8"/>
    <w:rsid w:val="FFF790A9"/>
    <w:rsid w:val="FFFB42A7"/>
    <w:rsid w:val="FFFB6FB2"/>
    <w:rsid w:val="FFFFDB3B"/>
    <w:rsid w:val="00020836"/>
    <w:rsid w:val="00040F3B"/>
    <w:rsid w:val="00046E20"/>
    <w:rsid w:val="00053879"/>
    <w:rsid w:val="0008476C"/>
    <w:rsid w:val="000A263D"/>
    <w:rsid w:val="000A4CED"/>
    <w:rsid w:val="000D7EEF"/>
    <w:rsid w:val="00141607"/>
    <w:rsid w:val="0014512F"/>
    <w:rsid w:val="00193669"/>
    <w:rsid w:val="00196672"/>
    <w:rsid w:val="00196903"/>
    <w:rsid w:val="001A65EA"/>
    <w:rsid w:val="001B1862"/>
    <w:rsid w:val="001C6865"/>
    <w:rsid w:val="001C68BA"/>
    <w:rsid w:val="002226D1"/>
    <w:rsid w:val="0024062B"/>
    <w:rsid w:val="002577B3"/>
    <w:rsid w:val="0028543D"/>
    <w:rsid w:val="0029644E"/>
    <w:rsid w:val="002B504E"/>
    <w:rsid w:val="002F234C"/>
    <w:rsid w:val="00337A11"/>
    <w:rsid w:val="00387763"/>
    <w:rsid w:val="003A7820"/>
    <w:rsid w:val="003C3546"/>
    <w:rsid w:val="003C7508"/>
    <w:rsid w:val="003F6092"/>
    <w:rsid w:val="0042414A"/>
    <w:rsid w:val="004348B6"/>
    <w:rsid w:val="00450DAB"/>
    <w:rsid w:val="004566B9"/>
    <w:rsid w:val="00465A66"/>
    <w:rsid w:val="00487D31"/>
    <w:rsid w:val="004A2C39"/>
    <w:rsid w:val="004C5BA0"/>
    <w:rsid w:val="004E044E"/>
    <w:rsid w:val="004F54A7"/>
    <w:rsid w:val="00515383"/>
    <w:rsid w:val="00521768"/>
    <w:rsid w:val="00550BE6"/>
    <w:rsid w:val="005735C0"/>
    <w:rsid w:val="005A1170"/>
    <w:rsid w:val="005B5D28"/>
    <w:rsid w:val="00601502"/>
    <w:rsid w:val="00612A8C"/>
    <w:rsid w:val="00623915"/>
    <w:rsid w:val="00651F30"/>
    <w:rsid w:val="006A3CEF"/>
    <w:rsid w:val="006D7B1F"/>
    <w:rsid w:val="006E28EA"/>
    <w:rsid w:val="006F2F87"/>
    <w:rsid w:val="007039A2"/>
    <w:rsid w:val="00765D91"/>
    <w:rsid w:val="00791030"/>
    <w:rsid w:val="007D5C66"/>
    <w:rsid w:val="007E03EC"/>
    <w:rsid w:val="008278F6"/>
    <w:rsid w:val="00843972"/>
    <w:rsid w:val="00860492"/>
    <w:rsid w:val="00871283"/>
    <w:rsid w:val="00886E48"/>
    <w:rsid w:val="008B60F3"/>
    <w:rsid w:val="008C4465"/>
    <w:rsid w:val="008E1A2C"/>
    <w:rsid w:val="00901A80"/>
    <w:rsid w:val="009222F7"/>
    <w:rsid w:val="0092274F"/>
    <w:rsid w:val="00942350"/>
    <w:rsid w:val="0098517D"/>
    <w:rsid w:val="009A6C30"/>
    <w:rsid w:val="009B0433"/>
    <w:rsid w:val="009B595E"/>
    <w:rsid w:val="009E3C1A"/>
    <w:rsid w:val="00A242DB"/>
    <w:rsid w:val="00A31BB7"/>
    <w:rsid w:val="00A82CA4"/>
    <w:rsid w:val="00AA1708"/>
    <w:rsid w:val="00AA6267"/>
    <w:rsid w:val="00AB07C9"/>
    <w:rsid w:val="00AB08F1"/>
    <w:rsid w:val="00AC2C73"/>
    <w:rsid w:val="00AC5B2B"/>
    <w:rsid w:val="00AD736E"/>
    <w:rsid w:val="00B21C61"/>
    <w:rsid w:val="00B33070"/>
    <w:rsid w:val="00B67398"/>
    <w:rsid w:val="00B85316"/>
    <w:rsid w:val="00BC4BF4"/>
    <w:rsid w:val="00BF149F"/>
    <w:rsid w:val="00BF63AD"/>
    <w:rsid w:val="00C00728"/>
    <w:rsid w:val="00C11888"/>
    <w:rsid w:val="00C164E2"/>
    <w:rsid w:val="00C71E9D"/>
    <w:rsid w:val="00CA10F6"/>
    <w:rsid w:val="00CC18EC"/>
    <w:rsid w:val="00CD4478"/>
    <w:rsid w:val="00CD4948"/>
    <w:rsid w:val="00CE754F"/>
    <w:rsid w:val="00CF1F97"/>
    <w:rsid w:val="00D413B9"/>
    <w:rsid w:val="00D5175F"/>
    <w:rsid w:val="00D561CB"/>
    <w:rsid w:val="00D61688"/>
    <w:rsid w:val="00D703B1"/>
    <w:rsid w:val="00D74FF5"/>
    <w:rsid w:val="00D75551"/>
    <w:rsid w:val="00DB62D6"/>
    <w:rsid w:val="00DC2282"/>
    <w:rsid w:val="00E03FE1"/>
    <w:rsid w:val="00E21267"/>
    <w:rsid w:val="00E529C0"/>
    <w:rsid w:val="00E712A8"/>
    <w:rsid w:val="00E77632"/>
    <w:rsid w:val="00ED6872"/>
    <w:rsid w:val="00F01374"/>
    <w:rsid w:val="00F17DB8"/>
    <w:rsid w:val="00F24E41"/>
    <w:rsid w:val="00F71C5F"/>
    <w:rsid w:val="00F96D93"/>
    <w:rsid w:val="00FD12A4"/>
    <w:rsid w:val="00FF7C75"/>
    <w:rsid w:val="016FF330"/>
    <w:rsid w:val="0B9769A2"/>
    <w:rsid w:val="1A79BF56"/>
    <w:rsid w:val="1B9F4B43"/>
    <w:rsid w:val="1D67354C"/>
    <w:rsid w:val="1D6D6E85"/>
    <w:rsid w:val="1D7B8348"/>
    <w:rsid w:val="1DFDA7B0"/>
    <w:rsid w:val="1FCF1DC4"/>
    <w:rsid w:val="1FF9CDB5"/>
    <w:rsid w:val="1FFF9906"/>
    <w:rsid w:val="23FFF2D5"/>
    <w:rsid w:val="273ED987"/>
    <w:rsid w:val="27A30B82"/>
    <w:rsid w:val="2B7D3B66"/>
    <w:rsid w:val="2C7FF098"/>
    <w:rsid w:val="2CDBC152"/>
    <w:rsid w:val="2D57863A"/>
    <w:rsid w:val="2EEB72C2"/>
    <w:rsid w:val="2F9FB58E"/>
    <w:rsid w:val="337B3CCE"/>
    <w:rsid w:val="33EF9C34"/>
    <w:rsid w:val="365F34FE"/>
    <w:rsid w:val="37570A6F"/>
    <w:rsid w:val="375F8DB0"/>
    <w:rsid w:val="379D14A8"/>
    <w:rsid w:val="3BF63F26"/>
    <w:rsid w:val="3BFDCB4C"/>
    <w:rsid w:val="3C750F84"/>
    <w:rsid w:val="3CBE7A69"/>
    <w:rsid w:val="3CEB930A"/>
    <w:rsid w:val="3CFEEA51"/>
    <w:rsid w:val="3DAF5C45"/>
    <w:rsid w:val="3DFF144C"/>
    <w:rsid w:val="3E3FDF93"/>
    <w:rsid w:val="3E8C12AA"/>
    <w:rsid w:val="3EBC453B"/>
    <w:rsid w:val="3EDB5029"/>
    <w:rsid w:val="3EFE4121"/>
    <w:rsid w:val="3F2985CC"/>
    <w:rsid w:val="3F5CC2A0"/>
    <w:rsid w:val="3FA7284D"/>
    <w:rsid w:val="3FBE5218"/>
    <w:rsid w:val="3FDB92F1"/>
    <w:rsid w:val="3FE58BE2"/>
    <w:rsid w:val="3FEF1281"/>
    <w:rsid w:val="3FF61EB2"/>
    <w:rsid w:val="3FF74FCE"/>
    <w:rsid w:val="3FFCF7D8"/>
    <w:rsid w:val="3FFDB347"/>
    <w:rsid w:val="3FFF59BA"/>
    <w:rsid w:val="3FFF6EB6"/>
    <w:rsid w:val="429FC662"/>
    <w:rsid w:val="451BA1C2"/>
    <w:rsid w:val="4675B9AF"/>
    <w:rsid w:val="46E79BCB"/>
    <w:rsid w:val="47F98F0B"/>
    <w:rsid w:val="480F0AD5"/>
    <w:rsid w:val="499A9378"/>
    <w:rsid w:val="4B536CF0"/>
    <w:rsid w:val="4C067811"/>
    <w:rsid w:val="4F350090"/>
    <w:rsid w:val="4F6E772F"/>
    <w:rsid w:val="4F7FA4C5"/>
    <w:rsid w:val="4FCFF664"/>
    <w:rsid w:val="4FFF4766"/>
    <w:rsid w:val="532721C3"/>
    <w:rsid w:val="55695BEA"/>
    <w:rsid w:val="55BEB0D2"/>
    <w:rsid w:val="57FF312F"/>
    <w:rsid w:val="58F5E7AA"/>
    <w:rsid w:val="58FD491F"/>
    <w:rsid w:val="59A7CE9D"/>
    <w:rsid w:val="59F6D6D5"/>
    <w:rsid w:val="5ABFC490"/>
    <w:rsid w:val="5B9D80FC"/>
    <w:rsid w:val="5BEF9E96"/>
    <w:rsid w:val="5BF23C8B"/>
    <w:rsid w:val="5BFBA1CC"/>
    <w:rsid w:val="5BFF4157"/>
    <w:rsid w:val="5C9F440E"/>
    <w:rsid w:val="5D3A1940"/>
    <w:rsid w:val="5D7DF3BD"/>
    <w:rsid w:val="5D9B03A4"/>
    <w:rsid w:val="5DFB9E93"/>
    <w:rsid w:val="5E92C06C"/>
    <w:rsid w:val="5EEB76D2"/>
    <w:rsid w:val="5F392FB1"/>
    <w:rsid w:val="5F7FCAEB"/>
    <w:rsid w:val="5FBF66DA"/>
    <w:rsid w:val="5FBF835A"/>
    <w:rsid w:val="5FD309FD"/>
    <w:rsid w:val="5FDF3E83"/>
    <w:rsid w:val="5FEEE07A"/>
    <w:rsid w:val="5FEFB06A"/>
    <w:rsid w:val="5FFD4850"/>
    <w:rsid w:val="5FFF1DB5"/>
    <w:rsid w:val="5FFF662D"/>
    <w:rsid w:val="5FFF66B3"/>
    <w:rsid w:val="5FFFA2D3"/>
    <w:rsid w:val="60F66740"/>
    <w:rsid w:val="61FB8708"/>
    <w:rsid w:val="63767EB6"/>
    <w:rsid w:val="65FDDFC7"/>
    <w:rsid w:val="66EE4FF1"/>
    <w:rsid w:val="67FBDBB7"/>
    <w:rsid w:val="68FE6B74"/>
    <w:rsid w:val="694F6B40"/>
    <w:rsid w:val="69EF5BEF"/>
    <w:rsid w:val="6AFF9A61"/>
    <w:rsid w:val="6BAF3E4C"/>
    <w:rsid w:val="6CFE117E"/>
    <w:rsid w:val="6CFEE836"/>
    <w:rsid w:val="6D7F93F3"/>
    <w:rsid w:val="6EFFD147"/>
    <w:rsid w:val="6F434C08"/>
    <w:rsid w:val="6F7C5803"/>
    <w:rsid w:val="6FAAD10C"/>
    <w:rsid w:val="6FAF6CBC"/>
    <w:rsid w:val="6FB3856F"/>
    <w:rsid w:val="6FBD2156"/>
    <w:rsid w:val="6FBE5A6D"/>
    <w:rsid w:val="6FDB776F"/>
    <w:rsid w:val="6FDB89D0"/>
    <w:rsid w:val="6FED6BC4"/>
    <w:rsid w:val="6FFF99E8"/>
    <w:rsid w:val="6FFFBB50"/>
    <w:rsid w:val="732E5B20"/>
    <w:rsid w:val="73EF9EA4"/>
    <w:rsid w:val="757F316F"/>
    <w:rsid w:val="759F30E1"/>
    <w:rsid w:val="75BF7138"/>
    <w:rsid w:val="75BFFBE6"/>
    <w:rsid w:val="75E968BC"/>
    <w:rsid w:val="75FA1ACE"/>
    <w:rsid w:val="75FFCD1F"/>
    <w:rsid w:val="763FCD3A"/>
    <w:rsid w:val="767B1673"/>
    <w:rsid w:val="771F6DB0"/>
    <w:rsid w:val="77BE1A78"/>
    <w:rsid w:val="77BF9E5C"/>
    <w:rsid w:val="77BFA9F2"/>
    <w:rsid w:val="77CD89AA"/>
    <w:rsid w:val="77EB1429"/>
    <w:rsid w:val="77EBB0E0"/>
    <w:rsid w:val="77F5C933"/>
    <w:rsid w:val="77FF12CB"/>
    <w:rsid w:val="77FF2194"/>
    <w:rsid w:val="78E63DC8"/>
    <w:rsid w:val="793BD693"/>
    <w:rsid w:val="799F0192"/>
    <w:rsid w:val="79BC7353"/>
    <w:rsid w:val="79FBD20F"/>
    <w:rsid w:val="7A9C4B3A"/>
    <w:rsid w:val="7AAF7C5B"/>
    <w:rsid w:val="7AD7F0DE"/>
    <w:rsid w:val="7AFBEEA8"/>
    <w:rsid w:val="7B1B5B23"/>
    <w:rsid w:val="7B47944A"/>
    <w:rsid w:val="7B577846"/>
    <w:rsid w:val="7B6BD482"/>
    <w:rsid w:val="7B9B2D2A"/>
    <w:rsid w:val="7BAEE173"/>
    <w:rsid w:val="7BD2D3CF"/>
    <w:rsid w:val="7BFE51A1"/>
    <w:rsid w:val="7BFF94C1"/>
    <w:rsid w:val="7BFFAD7B"/>
    <w:rsid w:val="7CBDCA58"/>
    <w:rsid w:val="7CBFF73A"/>
    <w:rsid w:val="7CD7FD26"/>
    <w:rsid w:val="7CE353FF"/>
    <w:rsid w:val="7CFB8A11"/>
    <w:rsid w:val="7D2DA429"/>
    <w:rsid w:val="7D3E1CCE"/>
    <w:rsid w:val="7D5FA90A"/>
    <w:rsid w:val="7D6D567E"/>
    <w:rsid w:val="7DA6F911"/>
    <w:rsid w:val="7DB777DF"/>
    <w:rsid w:val="7DDFFED0"/>
    <w:rsid w:val="7DE791B6"/>
    <w:rsid w:val="7DEA8344"/>
    <w:rsid w:val="7DEF033F"/>
    <w:rsid w:val="7DF71F94"/>
    <w:rsid w:val="7E4F679A"/>
    <w:rsid w:val="7E57543C"/>
    <w:rsid w:val="7E7A0A6F"/>
    <w:rsid w:val="7E7F4367"/>
    <w:rsid w:val="7E7FED20"/>
    <w:rsid w:val="7ECFEEBC"/>
    <w:rsid w:val="7EE57F9E"/>
    <w:rsid w:val="7EEDF660"/>
    <w:rsid w:val="7EEE7652"/>
    <w:rsid w:val="7EFA1CBA"/>
    <w:rsid w:val="7EFBDC16"/>
    <w:rsid w:val="7EFE84AA"/>
    <w:rsid w:val="7EFF5B74"/>
    <w:rsid w:val="7F3D81E9"/>
    <w:rsid w:val="7F3F2330"/>
    <w:rsid w:val="7F5757C9"/>
    <w:rsid w:val="7F593BD4"/>
    <w:rsid w:val="7F75B4F7"/>
    <w:rsid w:val="7F7D1524"/>
    <w:rsid w:val="7F7EE7DF"/>
    <w:rsid w:val="7F7F857E"/>
    <w:rsid w:val="7F99FC19"/>
    <w:rsid w:val="7F9F8DF9"/>
    <w:rsid w:val="7F9FFE98"/>
    <w:rsid w:val="7FAFF7FA"/>
    <w:rsid w:val="7FBD2F01"/>
    <w:rsid w:val="7FBF76C6"/>
    <w:rsid w:val="7FCAAB11"/>
    <w:rsid w:val="7FCFB81F"/>
    <w:rsid w:val="7FD320B8"/>
    <w:rsid w:val="7FD70E50"/>
    <w:rsid w:val="7FDA02CD"/>
    <w:rsid w:val="7FDBB93E"/>
    <w:rsid w:val="7FDCB475"/>
    <w:rsid w:val="7FDEAC41"/>
    <w:rsid w:val="7FDF1996"/>
    <w:rsid w:val="7FDF1B6D"/>
    <w:rsid w:val="7FDFF49B"/>
    <w:rsid w:val="7FF72821"/>
    <w:rsid w:val="7FF83B22"/>
    <w:rsid w:val="7FF9E4B3"/>
    <w:rsid w:val="7FFDCFD7"/>
    <w:rsid w:val="7FFED9A0"/>
    <w:rsid w:val="7FFF1FF3"/>
    <w:rsid w:val="7FFF3100"/>
    <w:rsid w:val="7FFF4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3FEE7"/>
  <w15:docId w15:val="{A8A2E9DB-4DD6-43B8-88BC-8E75807E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line="570" w:lineRule="exact"/>
      <w:ind w:firstLineChars="200" w:firstLine="640"/>
      <w:outlineLvl w:val="0"/>
    </w:pPr>
    <w:rPr>
      <w:rFonts w:ascii="仿宋_GB2312" w:eastAsia="仿宋_GB2312" w:hAnsi="仿宋_GB2312"/>
      <w:sz w:val="32"/>
      <w:szCs w:val="32"/>
    </w:rPr>
  </w:style>
  <w:style w:type="paragraph" w:styleId="2">
    <w:name w:val="heading 2"/>
    <w:basedOn w:val="a"/>
    <w:next w:val="a"/>
    <w:uiPriority w:val="99"/>
    <w:qFormat/>
    <w:pPr>
      <w:keepNext/>
      <w:spacing w:before="240" w:after="60"/>
      <w:outlineLvl w:val="1"/>
    </w:pPr>
    <w:rPr>
      <w:rFonts w:ascii="Calibri Light" w:hAnsi="Calibri Light"/>
      <w:b/>
      <w:bCs/>
      <w:i/>
      <w:iCs/>
      <w:sz w:val="28"/>
      <w:szCs w:val="28"/>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宋体" w:hAnsi="Courier New" w:cs="宋体"/>
      <w:kern w:val="0"/>
      <w:sz w:val="20"/>
      <w:szCs w:val="20"/>
    </w:r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8">
    <w:name w:val="Normal (Web)"/>
    <w:basedOn w:val="a"/>
    <w:qFormat/>
    <w:rPr>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styleId="ab">
    <w:name w:val="Hyperlink"/>
    <w:basedOn w:val="a0"/>
    <w:qFormat/>
    <w:rPr>
      <w:color w:val="0000FF"/>
      <w:u w:val="single"/>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paragraph" w:customStyle="1" w:styleId="ds-markdown-paragraph">
    <w:name w:val="ds-markdown-paragraph"/>
    <w:basedOn w:val="a"/>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492EE5-9BD2-4240-A91E-92388B55F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jnak</dc:creator>
  <cp:lastModifiedBy>Administrator</cp:lastModifiedBy>
  <cp:revision>26</cp:revision>
  <cp:lastPrinted>2025-09-15T08:15:00Z</cp:lastPrinted>
  <dcterms:created xsi:type="dcterms:W3CDTF">2025-09-03T00:09:00Z</dcterms:created>
  <dcterms:modified xsi:type="dcterms:W3CDTF">2025-09-16T07:37:00Z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1E2E8F175E0F4F5FA8595DAFED10D7FB_12</vt:lpwstr>
  </property>
  <property fmtid="{D5CDD505-2E9C-101B-9397-08002B2CF9AE}" pid="4" name="KSOTemplateDocerSaveRecord">
    <vt:lpwstr>eyJoZGlkIjoiNDJkNGRmNTExZTZhMmQ5MzI4NDNkZjNjODg0MTVkZGQifQ==</vt:lpwstr>
  </property>
</Properties>
</file>